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5879" w14:textId="7B3D7DF3" w:rsidR="00B20BAA" w:rsidRDefault="00137B9B" w:rsidP="00760FF5">
      <w:pPr>
        <w:spacing w:after="240" w:line="360" w:lineRule="auto"/>
        <w:jc w:val="both"/>
      </w:pPr>
      <w:r>
        <w:rPr>
          <w:color w:val="000000"/>
          <w:sz w:val="32"/>
          <w:szCs w:val="32"/>
        </w:rPr>
        <w:t>S</w:t>
      </w:r>
      <w:r w:rsidR="00137580">
        <w:rPr>
          <w:color w:val="000000"/>
          <w:sz w:val="32"/>
          <w:szCs w:val="32"/>
        </w:rPr>
        <w:t>ystem kaucyjny –</w:t>
      </w:r>
      <w:r w:rsidR="002706B2">
        <w:rPr>
          <w:color w:val="000000"/>
          <w:sz w:val="32"/>
          <w:szCs w:val="32"/>
        </w:rPr>
        <w:t xml:space="preserve"> </w:t>
      </w:r>
      <w:r w:rsidR="00137580">
        <w:rPr>
          <w:color w:val="000000"/>
          <w:sz w:val="32"/>
          <w:szCs w:val="32"/>
        </w:rPr>
        <w:t>dwie zgody Prezesa UOKiK na koncentracj</w:t>
      </w:r>
      <w:r w:rsidR="002674A9">
        <w:rPr>
          <w:color w:val="000000"/>
          <w:sz w:val="32"/>
          <w:szCs w:val="32"/>
        </w:rPr>
        <w:t>e</w:t>
      </w:r>
      <w:r w:rsidR="00137580">
        <w:rPr>
          <w:color w:val="000000"/>
          <w:sz w:val="32"/>
          <w:szCs w:val="32"/>
        </w:rPr>
        <w:t xml:space="preserve"> </w:t>
      </w:r>
    </w:p>
    <w:p w14:paraId="3FA6A10F" w14:textId="77A12CB2" w:rsidR="00920CB2" w:rsidRPr="00137580" w:rsidRDefault="006157A2" w:rsidP="00760FF5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/>
          <w:sz w:val="22"/>
        </w:rPr>
      </w:pPr>
      <w:r w:rsidRPr="00137580">
        <w:rPr>
          <w:b/>
          <w:sz w:val="22"/>
        </w:rPr>
        <w:t xml:space="preserve">Prezes UOKiK </w:t>
      </w:r>
      <w:r w:rsidR="00892D9F" w:rsidRPr="00137580">
        <w:rPr>
          <w:b/>
          <w:sz w:val="22"/>
        </w:rPr>
        <w:t xml:space="preserve">wydał dwie zgody </w:t>
      </w:r>
      <w:r w:rsidR="00CD77AB" w:rsidRPr="00137580">
        <w:rPr>
          <w:b/>
          <w:sz w:val="22"/>
        </w:rPr>
        <w:t xml:space="preserve">na utworzenie </w:t>
      </w:r>
      <w:r w:rsidR="007920B8" w:rsidRPr="00137580">
        <w:rPr>
          <w:b/>
          <w:sz w:val="22"/>
        </w:rPr>
        <w:t>operatoró</w:t>
      </w:r>
      <w:r w:rsidR="00B620C6" w:rsidRPr="00137580">
        <w:rPr>
          <w:b/>
          <w:sz w:val="22"/>
        </w:rPr>
        <w:t>w</w:t>
      </w:r>
      <w:r w:rsidR="007920B8" w:rsidRPr="00137580">
        <w:rPr>
          <w:b/>
          <w:sz w:val="22"/>
        </w:rPr>
        <w:t xml:space="preserve"> </w:t>
      </w:r>
      <w:r w:rsidR="00B620C6" w:rsidRPr="00137580">
        <w:rPr>
          <w:b/>
          <w:sz w:val="22"/>
        </w:rPr>
        <w:t>systemu kaucyjnego, który wejdzie w życie w 2025 roku.</w:t>
      </w:r>
    </w:p>
    <w:p w14:paraId="206B8495" w14:textId="07AF1A77" w:rsidR="00920CB2" w:rsidRPr="00137580" w:rsidRDefault="00B620C6" w:rsidP="00920CB2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cs="Calibri"/>
          <w:b/>
          <w:color w:val="000000"/>
          <w:sz w:val="22"/>
        </w:rPr>
      </w:pPr>
      <w:r w:rsidRPr="00137580">
        <w:rPr>
          <w:b/>
          <w:sz w:val="22"/>
        </w:rPr>
        <w:t>Decyzje dotyczą producentów napojów bezalkoholowych i piwa</w:t>
      </w:r>
      <w:r w:rsidR="00137580">
        <w:rPr>
          <w:b/>
          <w:sz w:val="22"/>
        </w:rPr>
        <w:t>.</w:t>
      </w:r>
    </w:p>
    <w:p w14:paraId="710B5F52" w14:textId="3510E3F6" w:rsidR="00137580" w:rsidRPr="00137580" w:rsidRDefault="00CD77AB" w:rsidP="00B620C6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b/>
          <w:sz w:val="22"/>
        </w:rPr>
      </w:pPr>
      <w:r w:rsidRPr="00137580">
        <w:rPr>
          <w:rFonts w:cs="Calibri"/>
          <w:b/>
          <w:color w:val="000000"/>
          <w:sz w:val="22"/>
        </w:rPr>
        <w:t>Przeprowadzone postępowani</w:t>
      </w:r>
      <w:r w:rsidR="002674A9">
        <w:rPr>
          <w:rFonts w:cs="Calibri"/>
          <w:b/>
          <w:color w:val="000000"/>
          <w:sz w:val="22"/>
        </w:rPr>
        <w:t>a</w:t>
      </w:r>
      <w:r w:rsidRPr="00137580">
        <w:rPr>
          <w:rFonts w:cs="Calibri"/>
          <w:b/>
          <w:color w:val="000000"/>
          <w:sz w:val="22"/>
        </w:rPr>
        <w:t xml:space="preserve"> </w:t>
      </w:r>
      <w:r w:rsidR="00B620C6" w:rsidRPr="00137580">
        <w:rPr>
          <w:rFonts w:cs="Calibri"/>
          <w:b/>
          <w:color w:val="000000"/>
          <w:sz w:val="22"/>
        </w:rPr>
        <w:t>wykazał</w:t>
      </w:r>
      <w:r w:rsidR="002674A9">
        <w:rPr>
          <w:rFonts w:cs="Calibri"/>
          <w:b/>
          <w:color w:val="000000"/>
          <w:sz w:val="22"/>
        </w:rPr>
        <w:t>y</w:t>
      </w:r>
      <w:r w:rsidRPr="00137580">
        <w:rPr>
          <w:rFonts w:cs="Calibri"/>
          <w:b/>
          <w:color w:val="000000"/>
          <w:sz w:val="22"/>
        </w:rPr>
        <w:t xml:space="preserve">, </w:t>
      </w:r>
      <w:r w:rsidR="002674A9">
        <w:rPr>
          <w:rFonts w:cs="Calibri"/>
          <w:b/>
          <w:color w:val="000000"/>
          <w:sz w:val="22"/>
        </w:rPr>
        <w:t>ż</w:t>
      </w:r>
      <w:r w:rsidRPr="00137580">
        <w:rPr>
          <w:rFonts w:cs="Calibri"/>
          <w:b/>
          <w:color w:val="000000"/>
          <w:sz w:val="22"/>
        </w:rPr>
        <w:t>e koncentracje nie ograniczą konkurencji</w:t>
      </w:r>
      <w:r w:rsidR="00137580">
        <w:rPr>
          <w:rFonts w:cs="Calibri"/>
          <w:b/>
          <w:color w:val="000000"/>
          <w:sz w:val="22"/>
        </w:rPr>
        <w:t>.</w:t>
      </w:r>
    </w:p>
    <w:p w14:paraId="6923F7A7" w14:textId="7622349F" w:rsidR="002370FD" w:rsidRDefault="00760FF5" w:rsidP="002674A9">
      <w:pPr>
        <w:spacing w:after="240" w:line="360" w:lineRule="auto"/>
        <w:jc w:val="both"/>
        <w:rPr>
          <w:sz w:val="22"/>
        </w:rPr>
      </w:pPr>
      <w:r w:rsidRPr="00137580">
        <w:rPr>
          <w:b/>
          <w:sz w:val="22"/>
        </w:rPr>
        <w:t xml:space="preserve">[Warszawa, </w:t>
      </w:r>
      <w:r w:rsidR="00137580">
        <w:rPr>
          <w:b/>
          <w:sz w:val="22"/>
        </w:rPr>
        <w:t>21</w:t>
      </w:r>
      <w:r w:rsidRPr="00137580">
        <w:rPr>
          <w:b/>
          <w:sz w:val="22"/>
        </w:rPr>
        <w:t xml:space="preserve"> </w:t>
      </w:r>
      <w:r w:rsidR="00786D88" w:rsidRPr="00137580">
        <w:rPr>
          <w:b/>
          <w:sz w:val="22"/>
        </w:rPr>
        <w:t xml:space="preserve">czerwca </w:t>
      </w:r>
      <w:r w:rsidRPr="00137580">
        <w:rPr>
          <w:b/>
          <w:sz w:val="22"/>
        </w:rPr>
        <w:t>2024 r.]</w:t>
      </w:r>
      <w:r w:rsidR="00920CB2" w:rsidRPr="00137580">
        <w:rPr>
          <w:rFonts w:cs="Calibri"/>
          <w:color w:val="000000"/>
          <w:sz w:val="14"/>
          <w:szCs w:val="14"/>
        </w:rPr>
        <w:t> </w:t>
      </w:r>
      <w:r w:rsidR="002674A9">
        <w:rPr>
          <w:rFonts w:cs="Calibri"/>
          <w:color w:val="000000"/>
          <w:sz w:val="22"/>
        </w:rPr>
        <w:t>Wydane</w:t>
      </w:r>
      <w:r w:rsidR="00453CF6" w:rsidRPr="00137580">
        <w:rPr>
          <w:rFonts w:cs="Calibri"/>
          <w:color w:val="000000"/>
          <w:sz w:val="22"/>
        </w:rPr>
        <w:t xml:space="preserve"> decyzje dotyc</w:t>
      </w:r>
      <w:r w:rsidR="00AD494C" w:rsidRPr="00137580">
        <w:rPr>
          <w:rFonts w:cs="Calibri"/>
          <w:color w:val="000000"/>
          <w:sz w:val="22"/>
        </w:rPr>
        <w:t>zą</w:t>
      </w:r>
      <w:r w:rsidR="00453CF6" w:rsidRPr="00137580">
        <w:rPr>
          <w:rFonts w:cs="Calibri"/>
          <w:color w:val="000000"/>
          <w:sz w:val="22"/>
        </w:rPr>
        <w:t xml:space="preserve"> utworzenia </w:t>
      </w:r>
      <w:r w:rsidR="002370FD" w:rsidRPr="00137580">
        <w:rPr>
          <w:rFonts w:cs="Calibri"/>
          <w:color w:val="000000"/>
          <w:sz w:val="22"/>
        </w:rPr>
        <w:t xml:space="preserve">przez producentów napojów </w:t>
      </w:r>
      <w:r w:rsidR="00AD494C" w:rsidRPr="00137580">
        <w:rPr>
          <w:rFonts w:cs="Calibri"/>
          <w:color w:val="000000"/>
          <w:sz w:val="22"/>
        </w:rPr>
        <w:t>wspólnych przedsiębiorców. Będą to tzw. podmioty reprezentujące wskazane w ustawi</w:t>
      </w:r>
      <w:r w:rsidR="008A77FF" w:rsidRPr="00137580">
        <w:rPr>
          <w:rFonts w:cs="Calibri"/>
          <w:color w:val="000000"/>
          <w:sz w:val="22"/>
        </w:rPr>
        <w:t>e o gospodarce odpadami</w:t>
      </w:r>
      <w:r w:rsidR="002674A9">
        <w:rPr>
          <w:rFonts w:cs="Calibri"/>
          <w:color w:val="000000"/>
          <w:sz w:val="22"/>
        </w:rPr>
        <w:t>,</w:t>
      </w:r>
      <w:r w:rsidR="00AD494C" w:rsidRPr="00137580">
        <w:rPr>
          <w:rFonts w:cs="Calibri"/>
          <w:color w:val="000000"/>
          <w:sz w:val="22"/>
        </w:rPr>
        <w:t xml:space="preserve"> reguluj</w:t>
      </w:r>
      <w:r w:rsidR="00230CF1" w:rsidRPr="00137580">
        <w:rPr>
          <w:rFonts w:cs="Calibri"/>
          <w:color w:val="000000"/>
          <w:sz w:val="22"/>
        </w:rPr>
        <w:t>ącej</w:t>
      </w:r>
      <w:r w:rsidR="00AD494C" w:rsidRPr="00137580">
        <w:rPr>
          <w:rFonts w:cs="Calibri"/>
          <w:color w:val="000000"/>
          <w:sz w:val="22"/>
        </w:rPr>
        <w:t xml:space="preserve"> system kaucyjny, który będzie obowiązywał od 1 stycznia 2025.</w:t>
      </w:r>
      <w:r w:rsidR="00230CF1" w:rsidRPr="00137580">
        <w:rPr>
          <w:rFonts w:cs="Calibri"/>
          <w:color w:val="000000"/>
          <w:sz w:val="22"/>
        </w:rPr>
        <w:t xml:space="preserve"> </w:t>
      </w:r>
      <w:r w:rsidR="00E15966" w:rsidRPr="00137580">
        <w:rPr>
          <w:sz w:val="22"/>
        </w:rPr>
        <w:t xml:space="preserve">To </w:t>
      </w:r>
      <w:r w:rsidR="00230CF1" w:rsidRPr="00137580">
        <w:rPr>
          <w:sz w:val="22"/>
        </w:rPr>
        <w:t xml:space="preserve">mechanizm, który ma na celu zmniejszenie ilości odpadów oraz zachęcenie konsumentów </w:t>
      </w:r>
      <w:r w:rsidR="002674A9">
        <w:rPr>
          <w:sz w:val="22"/>
        </w:rPr>
        <w:t xml:space="preserve">do </w:t>
      </w:r>
      <w:r w:rsidR="00230CF1" w:rsidRPr="00137580">
        <w:rPr>
          <w:sz w:val="22"/>
        </w:rPr>
        <w:t>recyklingu. Z punktu widzenia k</w:t>
      </w:r>
      <w:r w:rsidR="002674A9">
        <w:rPr>
          <w:sz w:val="22"/>
        </w:rPr>
        <w:t xml:space="preserve">lientów sklepów </w:t>
      </w:r>
      <w:r w:rsidR="00230CF1" w:rsidRPr="00137580">
        <w:rPr>
          <w:sz w:val="22"/>
        </w:rPr>
        <w:t xml:space="preserve">oznacza on </w:t>
      </w:r>
      <w:r w:rsidR="00105458" w:rsidRPr="00137580">
        <w:rPr>
          <w:sz w:val="22"/>
        </w:rPr>
        <w:t>konieczność</w:t>
      </w:r>
      <w:r w:rsidR="00230CF1" w:rsidRPr="00137580">
        <w:rPr>
          <w:sz w:val="22"/>
        </w:rPr>
        <w:t xml:space="preserve"> </w:t>
      </w:r>
      <w:r w:rsidR="00105458" w:rsidRPr="00137580">
        <w:rPr>
          <w:sz w:val="22"/>
        </w:rPr>
        <w:t>zapłaty</w:t>
      </w:r>
      <w:r w:rsidR="00230CF1" w:rsidRPr="00137580">
        <w:rPr>
          <w:sz w:val="22"/>
        </w:rPr>
        <w:t xml:space="preserve"> zwrotnej kaucji przy zakupie napojów w  butel</w:t>
      </w:r>
      <w:r w:rsidR="00137580">
        <w:rPr>
          <w:sz w:val="22"/>
        </w:rPr>
        <w:t>ce</w:t>
      </w:r>
      <w:r w:rsidR="00230CF1" w:rsidRPr="00137580">
        <w:rPr>
          <w:sz w:val="22"/>
        </w:rPr>
        <w:t xml:space="preserve"> z tworzyw sztucznych</w:t>
      </w:r>
      <w:r w:rsidR="00137580">
        <w:rPr>
          <w:sz w:val="22"/>
        </w:rPr>
        <w:t xml:space="preserve">, </w:t>
      </w:r>
      <w:r w:rsidR="002674A9">
        <w:rPr>
          <w:sz w:val="22"/>
        </w:rPr>
        <w:t>szklanej</w:t>
      </w:r>
      <w:r w:rsidR="00137580">
        <w:rPr>
          <w:sz w:val="22"/>
        </w:rPr>
        <w:t xml:space="preserve"> oraz w puszce</w:t>
      </w:r>
      <w:r w:rsidR="00230CF1" w:rsidRPr="00137580">
        <w:rPr>
          <w:sz w:val="22"/>
        </w:rPr>
        <w:t>.</w:t>
      </w:r>
      <w:r w:rsidR="00E15966" w:rsidRPr="00137580">
        <w:rPr>
          <w:sz w:val="22"/>
        </w:rPr>
        <w:t xml:space="preserve"> </w:t>
      </w:r>
    </w:p>
    <w:p w14:paraId="4C46414A" w14:textId="5B81F6BC" w:rsidR="00230CF1" w:rsidRPr="00137580" w:rsidRDefault="00E15966" w:rsidP="002674A9">
      <w:pPr>
        <w:spacing w:after="240" w:line="360" w:lineRule="auto"/>
        <w:jc w:val="both"/>
        <w:rPr>
          <w:sz w:val="22"/>
        </w:rPr>
      </w:pPr>
      <w:r w:rsidRPr="00137580">
        <w:rPr>
          <w:sz w:val="22"/>
        </w:rPr>
        <w:t xml:space="preserve">W większości krajów działa jeden operator systemu kaucyjnego, tworzony przez producentów napojów, w niektórych przypadkach również z udziałem państwa. </w:t>
      </w:r>
      <w:r w:rsidR="00230CF1" w:rsidRPr="00137580">
        <w:rPr>
          <w:sz w:val="22"/>
        </w:rPr>
        <w:t>Polska przyjęła odmienny model</w:t>
      </w:r>
      <w:r w:rsidRPr="00137580">
        <w:rPr>
          <w:sz w:val="22"/>
        </w:rPr>
        <w:t xml:space="preserve">, w którym będą działali różni </w:t>
      </w:r>
      <w:r w:rsidR="00105458" w:rsidRPr="00137580">
        <w:rPr>
          <w:sz w:val="22"/>
        </w:rPr>
        <w:t>operatorzy</w:t>
      </w:r>
      <w:r w:rsidR="002674A9">
        <w:rPr>
          <w:sz w:val="22"/>
        </w:rPr>
        <w:t>.</w:t>
      </w:r>
      <w:r w:rsidRPr="00137580">
        <w:rPr>
          <w:sz w:val="22"/>
        </w:rPr>
        <w:t xml:space="preserve"> </w:t>
      </w:r>
      <w:r w:rsidR="002674A9">
        <w:rPr>
          <w:sz w:val="22"/>
        </w:rPr>
        <w:t xml:space="preserve">Operatorzy mają </w:t>
      </w:r>
      <w:r w:rsidR="00105458" w:rsidRPr="00137580">
        <w:rPr>
          <w:sz w:val="22"/>
        </w:rPr>
        <w:t xml:space="preserve">być tworzeni </w:t>
      </w:r>
      <w:r w:rsidR="00981F80">
        <w:rPr>
          <w:sz w:val="22"/>
        </w:rPr>
        <w:t xml:space="preserve">m.in. </w:t>
      </w:r>
      <w:r w:rsidR="00105458" w:rsidRPr="00137580">
        <w:rPr>
          <w:sz w:val="22"/>
        </w:rPr>
        <w:t>przez producentów</w:t>
      </w:r>
      <w:r w:rsidR="00B620C6" w:rsidRPr="00137580">
        <w:rPr>
          <w:sz w:val="22"/>
        </w:rPr>
        <w:t xml:space="preserve"> lub</w:t>
      </w:r>
      <w:r w:rsidR="00105458" w:rsidRPr="00137580">
        <w:rPr>
          <w:sz w:val="22"/>
        </w:rPr>
        <w:t xml:space="preserve"> importerów napojów, jako tzw</w:t>
      </w:r>
      <w:r w:rsidRPr="00137580">
        <w:rPr>
          <w:sz w:val="22"/>
        </w:rPr>
        <w:t>. podmiot</w:t>
      </w:r>
      <w:r w:rsidR="002674A9">
        <w:rPr>
          <w:sz w:val="22"/>
        </w:rPr>
        <w:t>y</w:t>
      </w:r>
      <w:r w:rsidRPr="00137580">
        <w:rPr>
          <w:sz w:val="22"/>
        </w:rPr>
        <w:t xml:space="preserve"> reprezentując</w:t>
      </w:r>
      <w:r w:rsidR="002674A9">
        <w:rPr>
          <w:sz w:val="22"/>
        </w:rPr>
        <w:t>e</w:t>
      </w:r>
      <w:r w:rsidR="00105458" w:rsidRPr="00137580">
        <w:rPr>
          <w:sz w:val="22"/>
        </w:rPr>
        <w:t xml:space="preserve">. </w:t>
      </w:r>
      <w:r w:rsidR="002674A9">
        <w:rPr>
          <w:sz w:val="22"/>
        </w:rPr>
        <w:t>Ich</w:t>
      </w:r>
      <w:r w:rsidR="00105458" w:rsidRPr="00137580">
        <w:rPr>
          <w:sz w:val="22"/>
        </w:rPr>
        <w:t xml:space="preserve"> zadaniem ma być m.in.  </w:t>
      </w:r>
      <w:r w:rsidR="00412DF9" w:rsidRPr="00137580">
        <w:rPr>
          <w:sz w:val="22"/>
        </w:rPr>
        <w:t>selektywne zbieranie opakowań i odpadów, odbieranie ich i transport ze sklepów</w:t>
      </w:r>
      <w:r w:rsidR="00105458" w:rsidRPr="00137580">
        <w:rPr>
          <w:rFonts w:eastAsia="Calibri"/>
          <w:sz w:val="22"/>
          <w:lang w:eastAsia="zh-CN"/>
        </w:rPr>
        <w:t>.</w:t>
      </w:r>
      <w:r w:rsidR="007920B8" w:rsidRPr="00137580">
        <w:rPr>
          <w:rFonts w:eastAsia="Calibri"/>
          <w:sz w:val="22"/>
          <w:lang w:eastAsia="zh-CN"/>
        </w:rPr>
        <w:t xml:space="preserve"> Co warte podkreślenia</w:t>
      </w:r>
      <w:r w:rsidR="002370FD">
        <w:rPr>
          <w:rFonts w:eastAsia="Calibri"/>
          <w:sz w:val="22"/>
          <w:lang w:eastAsia="zh-CN"/>
        </w:rPr>
        <w:t>,</w:t>
      </w:r>
      <w:r w:rsidR="007920B8" w:rsidRPr="00137580">
        <w:rPr>
          <w:rFonts w:eastAsia="Calibri"/>
          <w:sz w:val="22"/>
          <w:lang w:eastAsia="zh-CN"/>
        </w:rPr>
        <w:t xml:space="preserve"> producenci i importerzy napojów muszą osiągnąć odp</w:t>
      </w:r>
      <w:r w:rsidR="00B620C6" w:rsidRPr="00137580">
        <w:rPr>
          <w:rFonts w:eastAsia="Calibri"/>
          <w:sz w:val="22"/>
          <w:lang w:eastAsia="zh-CN"/>
        </w:rPr>
        <w:t>o</w:t>
      </w:r>
      <w:r w:rsidR="007920B8" w:rsidRPr="00137580">
        <w:rPr>
          <w:rFonts w:eastAsia="Calibri"/>
          <w:sz w:val="22"/>
          <w:lang w:eastAsia="zh-CN"/>
        </w:rPr>
        <w:t xml:space="preserve">wiedni poziom </w:t>
      </w:r>
      <w:r w:rsidR="007920B8" w:rsidRPr="00137580">
        <w:rPr>
          <w:sz w:val="22"/>
        </w:rPr>
        <w:t>selektywnego zbierania opakowań i odpadów opakowaniowych. Brak wypełnienia określonych wskaźników będzie skutkował koniecznością pon</w:t>
      </w:r>
      <w:r w:rsidR="00B620C6" w:rsidRPr="00137580">
        <w:rPr>
          <w:sz w:val="22"/>
        </w:rPr>
        <w:t>o</w:t>
      </w:r>
      <w:r w:rsidR="007920B8" w:rsidRPr="00137580">
        <w:rPr>
          <w:sz w:val="22"/>
        </w:rPr>
        <w:t xml:space="preserve">szenia przez nich </w:t>
      </w:r>
      <w:r w:rsidR="00B620C6" w:rsidRPr="00137580">
        <w:rPr>
          <w:sz w:val="22"/>
        </w:rPr>
        <w:t xml:space="preserve">dodatkowej </w:t>
      </w:r>
      <w:r w:rsidR="007920B8" w:rsidRPr="00137580">
        <w:rPr>
          <w:sz w:val="22"/>
        </w:rPr>
        <w:t xml:space="preserve">opłaty </w:t>
      </w:r>
      <w:r w:rsidR="00B620C6" w:rsidRPr="00137580">
        <w:rPr>
          <w:sz w:val="22"/>
        </w:rPr>
        <w:t xml:space="preserve">(opłaty </w:t>
      </w:r>
      <w:r w:rsidR="007920B8" w:rsidRPr="00137580">
        <w:rPr>
          <w:sz w:val="22"/>
        </w:rPr>
        <w:t>produktowej</w:t>
      </w:r>
      <w:r w:rsidR="00B620C6" w:rsidRPr="00137580">
        <w:rPr>
          <w:sz w:val="22"/>
        </w:rPr>
        <w:t>).</w:t>
      </w:r>
    </w:p>
    <w:p w14:paraId="57194F4E" w14:textId="074118A0" w:rsidR="00AD494C" w:rsidRPr="007920B8" w:rsidRDefault="00AD494C" w:rsidP="007920B8">
      <w:pPr>
        <w:shd w:val="clear" w:color="auto" w:fill="FFFFFF"/>
        <w:spacing w:after="240" w:line="360" w:lineRule="auto"/>
        <w:jc w:val="both"/>
        <w:rPr>
          <w:rFonts w:cs="Calibri"/>
          <w:color w:val="000000"/>
          <w:sz w:val="22"/>
          <w:shd w:val="clear" w:color="auto" w:fill="FFFFFF"/>
        </w:rPr>
      </w:pPr>
      <w:r w:rsidRPr="007920B8">
        <w:rPr>
          <w:rFonts w:cs="Calibri"/>
          <w:color w:val="000000"/>
          <w:sz w:val="22"/>
        </w:rPr>
        <w:t>Pierwsz</w:t>
      </w:r>
      <w:r w:rsidR="002674A9">
        <w:rPr>
          <w:rFonts w:cs="Calibri"/>
          <w:color w:val="000000"/>
          <w:sz w:val="22"/>
        </w:rPr>
        <w:t>a</w:t>
      </w:r>
      <w:r w:rsidRPr="007920B8">
        <w:rPr>
          <w:rFonts w:cs="Calibri"/>
          <w:color w:val="000000"/>
          <w:sz w:val="22"/>
        </w:rPr>
        <w:t xml:space="preserve"> z decyzji dotyczy </w:t>
      </w:r>
      <w:r w:rsidR="009A103A" w:rsidRPr="007920B8">
        <w:rPr>
          <w:rFonts w:cs="Calibri"/>
          <w:color w:val="000000"/>
          <w:sz w:val="22"/>
        </w:rPr>
        <w:t xml:space="preserve">transakcji z udziałem producentów napojów bezalkoholowych: </w:t>
      </w:r>
      <w:r w:rsidR="009A103A" w:rsidRPr="007920B8">
        <w:rPr>
          <w:rFonts w:cs="Calibri"/>
          <w:color w:val="000000"/>
          <w:sz w:val="22"/>
          <w:shd w:val="clear" w:color="auto" w:fill="FFFFFF"/>
        </w:rPr>
        <w:t xml:space="preserve">Coca-Cola HBC, </w:t>
      </w:r>
      <w:proofErr w:type="spellStart"/>
      <w:r w:rsidR="009A103A" w:rsidRPr="007920B8">
        <w:rPr>
          <w:rFonts w:cs="Calibri"/>
          <w:color w:val="000000"/>
          <w:sz w:val="22"/>
          <w:shd w:val="clear" w:color="auto" w:fill="FFFFFF"/>
        </w:rPr>
        <w:t>Colian</w:t>
      </w:r>
      <w:proofErr w:type="spellEnd"/>
      <w:r w:rsidR="009A103A" w:rsidRPr="007920B8">
        <w:rPr>
          <w:rFonts w:cs="Calibri"/>
          <w:color w:val="000000"/>
          <w:sz w:val="22"/>
          <w:shd w:val="clear" w:color="auto" w:fill="FFFFFF"/>
        </w:rPr>
        <w:t xml:space="preserve">, Żywiec-Zdrój, Grupa Maspex, Nestle Polska, Pepsi-Cola General Bottlers Poland, Red Bull, </w:t>
      </w:r>
      <w:proofErr w:type="spellStart"/>
      <w:r w:rsidR="009A103A" w:rsidRPr="007920B8">
        <w:rPr>
          <w:rFonts w:cs="Calibri"/>
          <w:color w:val="000000"/>
          <w:sz w:val="22"/>
          <w:shd w:val="clear" w:color="auto" w:fill="FFFFFF"/>
        </w:rPr>
        <w:t>Oshee</w:t>
      </w:r>
      <w:proofErr w:type="spellEnd"/>
      <w:r w:rsidR="009A103A" w:rsidRPr="007920B8">
        <w:rPr>
          <w:rFonts w:cs="Calibri"/>
          <w:color w:val="000000"/>
          <w:sz w:val="22"/>
          <w:shd w:val="clear" w:color="auto" w:fill="FFFFFF"/>
        </w:rPr>
        <w:t xml:space="preserve"> Polska, Zbyszko Company, </w:t>
      </w:r>
      <w:proofErr w:type="spellStart"/>
      <w:r w:rsidR="009A103A" w:rsidRPr="007920B8">
        <w:rPr>
          <w:rFonts w:cs="Calibri"/>
          <w:color w:val="000000"/>
          <w:sz w:val="22"/>
          <w:shd w:val="clear" w:color="auto" w:fill="FFFFFF"/>
        </w:rPr>
        <w:t>Orangina</w:t>
      </w:r>
      <w:proofErr w:type="spellEnd"/>
      <w:r w:rsidR="009A103A" w:rsidRPr="007920B8">
        <w:rPr>
          <w:rFonts w:cs="Calibri"/>
          <w:color w:val="000000"/>
          <w:sz w:val="22"/>
          <w:shd w:val="clear" w:color="auto" w:fill="FFFFFF"/>
        </w:rPr>
        <w:t xml:space="preserve"> Schweppes Polska, Nałęczów Zdrój oraz Van </w:t>
      </w:r>
      <w:proofErr w:type="spellStart"/>
      <w:r w:rsidR="009A103A" w:rsidRPr="007920B8">
        <w:rPr>
          <w:rFonts w:cs="Calibri"/>
          <w:color w:val="000000"/>
          <w:sz w:val="22"/>
          <w:shd w:val="clear" w:color="auto" w:fill="FFFFFF"/>
        </w:rPr>
        <w:t>Pur</w:t>
      </w:r>
      <w:proofErr w:type="spellEnd"/>
      <w:r w:rsidR="009A103A" w:rsidRPr="007920B8">
        <w:rPr>
          <w:rFonts w:cs="Calibri"/>
          <w:color w:val="000000"/>
          <w:sz w:val="22"/>
          <w:shd w:val="clear" w:color="auto" w:fill="FFFFFF"/>
        </w:rPr>
        <w:t>. Drug</w:t>
      </w:r>
      <w:r w:rsidR="004817A1">
        <w:rPr>
          <w:rFonts w:cs="Calibri"/>
          <w:color w:val="000000"/>
          <w:sz w:val="22"/>
          <w:shd w:val="clear" w:color="auto" w:fill="FFFFFF"/>
        </w:rPr>
        <w:t>a</w:t>
      </w:r>
      <w:r w:rsidR="009A103A" w:rsidRPr="007920B8">
        <w:rPr>
          <w:rFonts w:cs="Calibri"/>
          <w:color w:val="000000"/>
          <w:sz w:val="22"/>
          <w:shd w:val="clear" w:color="auto" w:fill="FFFFFF"/>
        </w:rPr>
        <w:t xml:space="preserve"> decyzja to zgoda na utworzenie wspólnego przedsiębiorcy przez producentów piwa: Carlsberg Polska, Kompanii Piwowarskiej oraz Grupy Żywiec.</w:t>
      </w:r>
    </w:p>
    <w:p w14:paraId="5ED0D89B" w14:textId="6A965D26" w:rsidR="009A103A" w:rsidRPr="007920B8" w:rsidRDefault="009A103A" w:rsidP="007920B8">
      <w:pPr>
        <w:shd w:val="clear" w:color="auto" w:fill="FFFFFF"/>
        <w:spacing w:after="240" w:line="360" w:lineRule="auto"/>
        <w:jc w:val="both"/>
        <w:rPr>
          <w:rFonts w:cs="Calibri"/>
          <w:color w:val="000000"/>
          <w:sz w:val="22"/>
        </w:rPr>
      </w:pPr>
      <w:r w:rsidRPr="007920B8">
        <w:rPr>
          <w:rFonts w:cs="Calibri"/>
          <w:color w:val="000000"/>
          <w:sz w:val="22"/>
        </w:rPr>
        <w:lastRenderedPageBreak/>
        <w:t xml:space="preserve">- Stworzenie </w:t>
      </w:r>
      <w:r w:rsidR="004817A1">
        <w:rPr>
          <w:rFonts w:cs="Calibri"/>
          <w:color w:val="000000"/>
          <w:sz w:val="22"/>
        </w:rPr>
        <w:t xml:space="preserve">operatora </w:t>
      </w:r>
      <w:r w:rsidRPr="007920B8">
        <w:rPr>
          <w:rFonts w:cs="Calibri"/>
          <w:color w:val="000000"/>
          <w:sz w:val="22"/>
        </w:rPr>
        <w:t>systemu selektywnej zbiórki odpadów jest bardzo istotne dla producentów napojów</w:t>
      </w:r>
      <w:r w:rsidR="00DB0B95" w:rsidRPr="007920B8">
        <w:rPr>
          <w:rFonts w:cs="Calibri"/>
          <w:color w:val="000000"/>
          <w:sz w:val="22"/>
        </w:rPr>
        <w:t xml:space="preserve"> ze względu </w:t>
      </w:r>
      <w:r w:rsidR="004817A1">
        <w:rPr>
          <w:rFonts w:cs="Calibri"/>
          <w:color w:val="000000"/>
          <w:sz w:val="22"/>
        </w:rPr>
        <w:t xml:space="preserve">na </w:t>
      </w:r>
      <w:r w:rsidR="007920B8" w:rsidRPr="007920B8">
        <w:rPr>
          <w:rFonts w:cs="Calibri"/>
          <w:color w:val="000000"/>
          <w:sz w:val="22"/>
        </w:rPr>
        <w:t>konieczność</w:t>
      </w:r>
      <w:r w:rsidR="00DB0B95" w:rsidRPr="007920B8">
        <w:rPr>
          <w:rFonts w:cs="Calibri"/>
          <w:color w:val="000000"/>
          <w:sz w:val="22"/>
        </w:rPr>
        <w:t xml:space="preserve"> dotrzymani</w:t>
      </w:r>
      <w:r w:rsidR="004817A1">
        <w:rPr>
          <w:rFonts w:cs="Calibri"/>
          <w:color w:val="000000"/>
          <w:sz w:val="22"/>
        </w:rPr>
        <w:t>a</w:t>
      </w:r>
      <w:r w:rsidR="00DB0B95" w:rsidRPr="007920B8">
        <w:rPr>
          <w:rFonts w:cs="Calibri"/>
          <w:color w:val="000000"/>
          <w:sz w:val="22"/>
        </w:rPr>
        <w:t xml:space="preserve"> wskaźników odzysku</w:t>
      </w:r>
      <w:r w:rsidRPr="007920B8">
        <w:rPr>
          <w:rFonts w:cs="Calibri"/>
          <w:color w:val="000000"/>
          <w:sz w:val="22"/>
        </w:rPr>
        <w:t>. Jednocześnie naszym zadaniem było sprawdzenie, czy utworzenie tzw. podmiotów</w:t>
      </w:r>
      <w:r w:rsidR="004817A1">
        <w:rPr>
          <w:rFonts w:cs="Calibri"/>
          <w:color w:val="000000"/>
          <w:sz w:val="22"/>
        </w:rPr>
        <w:t xml:space="preserve"> reprezentujących</w:t>
      </w:r>
      <w:r w:rsidRPr="007920B8">
        <w:rPr>
          <w:rFonts w:cs="Calibri"/>
          <w:color w:val="000000"/>
          <w:sz w:val="22"/>
        </w:rPr>
        <w:t xml:space="preserve"> może</w:t>
      </w:r>
      <w:r w:rsidR="004817A1">
        <w:rPr>
          <w:rFonts w:cs="Calibri"/>
          <w:color w:val="000000"/>
          <w:sz w:val="22"/>
        </w:rPr>
        <w:t xml:space="preserve"> być</w:t>
      </w:r>
      <w:r w:rsidRPr="007920B8">
        <w:rPr>
          <w:rFonts w:cs="Calibri"/>
          <w:color w:val="000000"/>
          <w:sz w:val="22"/>
        </w:rPr>
        <w:t xml:space="preserve"> niekorzystne dla innych </w:t>
      </w:r>
      <w:r w:rsidR="005B458A">
        <w:rPr>
          <w:rFonts w:cs="Calibri"/>
          <w:color w:val="000000"/>
          <w:sz w:val="22"/>
        </w:rPr>
        <w:t>uczestników rynku</w:t>
      </w:r>
      <w:r w:rsidRPr="007920B8">
        <w:rPr>
          <w:rFonts w:cs="Calibri"/>
          <w:color w:val="000000"/>
          <w:sz w:val="22"/>
        </w:rPr>
        <w:t xml:space="preserve">. </w:t>
      </w:r>
      <w:r w:rsidR="004817A1">
        <w:rPr>
          <w:rFonts w:cs="Calibri"/>
          <w:color w:val="000000"/>
          <w:sz w:val="22"/>
        </w:rPr>
        <w:t xml:space="preserve">Nasza </w:t>
      </w:r>
      <w:r w:rsidRPr="007920B8">
        <w:rPr>
          <w:rFonts w:cs="Calibri"/>
          <w:color w:val="000000"/>
          <w:sz w:val="22"/>
        </w:rPr>
        <w:t xml:space="preserve">wnikliwa analiza wykazała, że </w:t>
      </w:r>
      <w:r w:rsidR="00DB0B95" w:rsidRPr="007920B8">
        <w:rPr>
          <w:rFonts w:cs="Calibri"/>
          <w:color w:val="000000"/>
          <w:sz w:val="22"/>
        </w:rPr>
        <w:t>transakcje nie doprowadz</w:t>
      </w:r>
      <w:r w:rsidR="004817A1">
        <w:rPr>
          <w:rFonts w:cs="Calibri"/>
          <w:color w:val="000000"/>
          <w:sz w:val="22"/>
        </w:rPr>
        <w:t>ą</w:t>
      </w:r>
      <w:r w:rsidR="00DB0B95" w:rsidRPr="007920B8">
        <w:rPr>
          <w:rFonts w:cs="Calibri"/>
          <w:color w:val="000000"/>
          <w:sz w:val="22"/>
        </w:rPr>
        <w:t xml:space="preserve"> do ograniczenia konkurencji – mówi Prezes UOKiK Tomasz </w:t>
      </w:r>
      <w:proofErr w:type="spellStart"/>
      <w:r w:rsidR="00DB0B95" w:rsidRPr="007920B8">
        <w:rPr>
          <w:rFonts w:cs="Calibri"/>
          <w:color w:val="000000"/>
          <w:sz w:val="22"/>
        </w:rPr>
        <w:t>Chróstny</w:t>
      </w:r>
      <w:proofErr w:type="spellEnd"/>
      <w:r w:rsidR="00DB0B95" w:rsidRPr="007920B8">
        <w:rPr>
          <w:rFonts w:cs="Calibri"/>
          <w:color w:val="000000"/>
          <w:sz w:val="22"/>
        </w:rPr>
        <w:t>.</w:t>
      </w:r>
      <w:r w:rsidRPr="007920B8">
        <w:rPr>
          <w:rFonts w:cs="Calibri"/>
          <w:color w:val="000000"/>
          <w:sz w:val="22"/>
        </w:rPr>
        <w:t xml:space="preserve"> </w:t>
      </w:r>
    </w:p>
    <w:p w14:paraId="3CECE843" w14:textId="67ED08D5" w:rsidR="00E0509F" w:rsidRPr="00B9420B" w:rsidRDefault="004817A1" w:rsidP="007920B8">
      <w:pPr>
        <w:spacing w:after="240" w:line="360" w:lineRule="auto"/>
        <w:jc w:val="both"/>
        <w:rPr>
          <w:rFonts w:eastAsia="Calibri"/>
          <w:sz w:val="22"/>
          <w:lang w:eastAsia="zh-CN"/>
        </w:rPr>
      </w:pPr>
      <w:r>
        <w:rPr>
          <w:rFonts w:cs="Calibri"/>
          <w:color w:val="000000"/>
          <w:sz w:val="22"/>
        </w:rPr>
        <w:t xml:space="preserve">Przy wydawaniu zgód na transakcje Prezes UOKiK </w:t>
      </w:r>
      <w:r w:rsidR="0065382C" w:rsidRPr="007920B8">
        <w:rPr>
          <w:rFonts w:cs="Calibri"/>
          <w:color w:val="000000"/>
          <w:sz w:val="22"/>
        </w:rPr>
        <w:t>wzi</w:t>
      </w:r>
      <w:r>
        <w:rPr>
          <w:rFonts w:cs="Calibri"/>
          <w:color w:val="000000"/>
          <w:sz w:val="22"/>
        </w:rPr>
        <w:t>ął</w:t>
      </w:r>
      <w:r w:rsidR="00981F80">
        <w:rPr>
          <w:rFonts w:cs="Calibri"/>
          <w:color w:val="000000"/>
          <w:sz w:val="22"/>
        </w:rPr>
        <w:t xml:space="preserve"> </w:t>
      </w:r>
      <w:r w:rsidR="005B458A">
        <w:rPr>
          <w:rFonts w:cs="Calibri"/>
          <w:color w:val="000000"/>
          <w:sz w:val="22"/>
        </w:rPr>
        <w:t xml:space="preserve">pod uwagę </w:t>
      </w:r>
      <w:r w:rsidR="00981F80">
        <w:rPr>
          <w:rFonts w:cs="Calibri"/>
          <w:color w:val="000000"/>
          <w:sz w:val="22"/>
        </w:rPr>
        <w:t>m.in.</w:t>
      </w:r>
      <w:r>
        <w:rPr>
          <w:rFonts w:cs="Calibri"/>
          <w:color w:val="000000"/>
          <w:sz w:val="22"/>
        </w:rPr>
        <w:t xml:space="preserve"> </w:t>
      </w:r>
      <w:r w:rsidR="005B458A">
        <w:rPr>
          <w:rFonts w:cs="Calibri"/>
          <w:color w:val="000000"/>
          <w:sz w:val="22"/>
        </w:rPr>
        <w:t xml:space="preserve">fakt, </w:t>
      </w:r>
      <w:r w:rsidR="0065382C" w:rsidRPr="007920B8">
        <w:rPr>
          <w:rFonts w:cs="Calibri"/>
          <w:color w:val="000000"/>
          <w:sz w:val="22"/>
        </w:rPr>
        <w:t>że</w:t>
      </w:r>
      <w:r w:rsidR="004E7C88" w:rsidRPr="007920B8">
        <w:rPr>
          <w:rFonts w:cs="Calibri"/>
          <w:color w:val="000000"/>
          <w:sz w:val="22"/>
        </w:rPr>
        <w:t xml:space="preserve"> </w:t>
      </w:r>
      <w:r w:rsidR="004E7C88" w:rsidRPr="00B9420B">
        <w:rPr>
          <w:rFonts w:cs="Calibri"/>
          <w:color w:val="000000"/>
          <w:sz w:val="22"/>
        </w:rPr>
        <w:t>na rynku będą działać również inni operatorzy systemu kaucyjneg</w:t>
      </w:r>
      <w:r w:rsidRPr="00B9420B">
        <w:rPr>
          <w:rFonts w:cs="Calibri"/>
          <w:color w:val="000000"/>
          <w:sz w:val="22"/>
        </w:rPr>
        <w:t>o</w:t>
      </w:r>
      <w:bookmarkStart w:id="0" w:name="_GoBack"/>
      <w:bookmarkEnd w:id="0"/>
      <w:r w:rsidRPr="00A353AE">
        <w:rPr>
          <w:rFonts w:cs="Calibri"/>
          <w:color w:val="000000"/>
          <w:sz w:val="22"/>
        </w:rPr>
        <w:t>.</w:t>
      </w:r>
      <w:r w:rsidR="00981F80" w:rsidRPr="00A353AE">
        <w:rPr>
          <w:rFonts w:cs="Calibri"/>
          <w:color w:val="000000"/>
          <w:sz w:val="22"/>
        </w:rPr>
        <w:t xml:space="preserve"> </w:t>
      </w:r>
      <w:r w:rsidR="00B9619E" w:rsidRPr="00A353AE">
        <w:rPr>
          <w:rFonts w:eastAsia="Calibri"/>
          <w:sz w:val="22"/>
        </w:rPr>
        <w:t xml:space="preserve">Koncentracja nie spowoduje </w:t>
      </w:r>
      <w:r w:rsidR="00E520C7" w:rsidRPr="00A353AE">
        <w:rPr>
          <w:rFonts w:eastAsia="Calibri"/>
          <w:sz w:val="22"/>
        </w:rPr>
        <w:t>również</w:t>
      </w:r>
      <w:r w:rsidR="00B9619E" w:rsidRPr="00A353AE">
        <w:rPr>
          <w:rFonts w:eastAsia="Calibri"/>
          <w:sz w:val="22"/>
        </w:rPr>
        <w:t xml:space="preserve"> ograniczenia dostępu do rynku </w:t>
      </w:r>
      <w:r w:rsidRPr="00A353AE">
        <w:rPr>
          <w:rFonts w:eastAsia="Calibri"/>
          <w:sz w:val="22"/>
        </w:rPr>
        <w:t xml:space="preserve">pozostałym </w:t>
      </w:r>
      <w:r w:rsidR="00B9619E" w:rsidRPr="00A353AE">
        <w:rPr>
          <w:rFonts w:eastAsia="Calibri"/>
          <w:sz w:val="22"/>
        </w:rPr>
        <w:t>producentom i importerom napojów</w:t>
      </w:r>
      <w:r w:rsidR="00491C74" w:rsidRPr="00A353AE">
        <w:rPr>
          <w:rFonts w:eastAsia="Calibri"/>
          <w:sz w:val="22"/>
        </w:rPr>
        <w:t xml:space="preserve">, którzy zgodnie z ustawą, </w:t>
      </w:r>
      <w:r w:rsidR="00B9420B" w:rsidRPr="00A353AE">
        <w:rPr>
          <w:sz w:val="22"/>
        </w:rPr>
        <w:t xml:space="preserve">będą mogli </w:t>
      </w:r>
      <w:r w:rsidR="00B9420B" w:rsidRPr="00A353AE">
        <w:rPr>
          <w:rFonts w:eastAsia="Calibri"/>
          <w:sz w:val="22"/>
        </w:rPr>
        <w:t>dołączać</w:t>
      </w:r>
      <w:r w:rsidR="0065382C" w:rsidRPr="00A353AE">
        <w:rPr>
          <w:rFonts w:eastAsia="Calibri"/>
          <w:sz w:val="22"/>
        </w:rPr>
        <w:t xml:space="preserve"> do system</w:t>
      </w:r>
      <w:r w:rsidR="00B9420B" w:rsidRPr="00A353AE">
        <w:rPr>
          <w:rFonts w:eastAsia="Calibri"/>
          <w:sz w:val="22"/>
        </w:rPr>
        <w:t>ów</w:t>
      </w:r>
      <w:r w:rsidR="0065382C" w:rsidRPr="00A353AE">
        <w:rPr>
          <w:rFonts w:eastAsia="Calibri"/>
          <w:sz w:val="22"/>
        </w:rPr>
        <w:t xml:space="preserve"> kaucyjn</w:t>
      </w:r>
      <w:r w:rsidR="00B9420B" w:rsidRPr="00A353AE">
        <w:rPr>
          <w:rFonts w:eastAsia="Calibri"/>
          <w:sz w:val="22"/>
        </w:rPr>
        <w:t>ych</w:t>
      </w:r>
      <w:r w:rsidR="0065382C" w:rsidRPr="00A353AE">
        <w:rPr>
          <w:rFonts w:eastAsia="Calibri"/>
          <w:sz w:val="22"/>
        </w:rPr>
        <w:t xml:space="preserve"> na równych</w:t>
      </w:r>
      <w:r w:rsidRPr="00A353AE">
        <w:rPr>
          <w:rFonts w:eastAsia="Calibri"/>
          <w:sz w:val="22"/>
        </w:rPr>
        <w:t xml:space="preserve"> zasadach</w:t>
      </w:r>
      <w:r w:rsidR="002E6CB2" w:rsidRPr="00A353AE">
        <w:rPr>
          <w:rFonts w:eastAsia="Calibri"/>
          <w:sz w:val="22"/>
        </w:rPr>
        <w:t>.</w:t>
      </w:r>
      <w:r w:rsidR="00C221D1" w:rsidRPr="00A353AE">
        <w:rPr>
          <w:rFonts w:eastAsia="Calibri"/>
          <w:sz w:val="22"/>
        </w:rPr>
        <w:t xml:space="preserve"> </w:t>
      </w:r>
      <w:r w:rsidR="00346E07" w:rsidRPr="00A353AE">
        <w:rPr>
          <w:rFonts w:eastAsia="Calibri"/>
          <w:sz w:val="22"/>
        </w:rPr>
        <w:t xml:space="preserve">Brak ryzyka ograniczenia konkurencji </w:t>
      </w:r>
      <w:r w:rsidR="00491C74" w:rsidRPr="00A353AE">
        <w:rPr>
          <w:rFonts w:cs="Calibri"/>
          <w:color w:val="000000"/>
          <w:sz w:val="22"/>
        </w:rPr>
        <w:t xml:space="preserve">wynika również ze specyfiki działania </w:t>
      </w:r>
      <w:r w:rsidR="00491C74" w:rsidRPr="00A353AE">
        <w:rPr>
          <w:sz w:val="22"/>
        </w:rPr>
        <w:t>systemów kaucyjnych.  Są to podmioty o charakterze non-profit, nie nastawione na zysk. Oznacza to m.in. że nie będą mog</w:t>
      </w:r>
      <w:r w:rsidR="00C221D1" w:rsidRPr="00A353AE">
        <w:rPr>
          <w:sz w:val="22"/>
        </w:rPr>
        <w:t xml:space="preserve">ły </w:t>
      </w:r>
      <w:r w:rsidR="00491C74" w:rsidRPr="00A353AE">
        <w:rPr>
          <w:sz w:val="22"/>
        </w:rPr>
        <w:t xml:space="preserve">uzyskiwać korzyści z pobieranych kaucji, nie będą </w:t>
      </w:r>
      <w:r w:rsidR="00C221D1" w:rsidRPr="00A353AE">
        <w:rPr>
          <w:sz w:val="22"/>
        </w:rPr>
        <w:t xml:space="preserve">miały również wpływu na </w:t>
      </w:r>
      <w:r w:rsidR="00491C74" w:rsidRPr="00A353AE">
        <w:rPr>
          <w:sz w:val="22"/>
        </w:rPr>
        <w:t xml:space="preserve"> na wysokość kaucji, która będzie określona w przepisac</w:t>
      </w:r>
      <w:r w:rsidR="00C221D1" w:rsidRPr="00A353AE">
        <w:rPr>
          <w:sz w:val="22"/>
        </w:rPr>
        <w:t>h.</w:t>
      </w:r>
    </w:p>
    <w:p w14:paraId="4D25797E" w14:textId="1D4738F7" w:rsidR="00CD77AB" w:rsidRPr="00FE31CA" w:rsidRDefault="00137580" w:rsidP="008F798E">
      <w:pPr>
        <w:shd w:val="clear" w:color="auto" w:fill="FFFFFF"/>
        <w:spacing w:after="240" w:line="360" w:lineRule="auto"/>
        <w:jc w:val="both"/>
        <w:rPr>
          <w:rFonts w:cs="Calibri"/>
          <w:color w:val="000000"/>
          <w:sz w:val="22"/>
        </w:rPr>
      </w:pPr>
      <w:r w:rsidRPr="00FE31CA">
        <w:rPr>
          <w:sz w:val="22"/>
        </w:rPr>
        <w:t xml:space="preserve">Oprócz  zgody Prezesa UOKiK, do rozpoczęcia </w:t>
      </w:r>
      <w:r w:rsidR="00FE31CA" w:rsidRPr="00FE31CA">
        <w:rPr>
          <w:sz w:val="22"/>
        </w:rPr>
        <w:t>działalności</w:t>
      </w:r>
      <w:r w:rsidRPr="00FE31CA">
        <w:rPr>
          <w:sz w:val="22"/>
        </w:rPr>
        <w:t xml:space="preserve"> przez nowe podmioty konieczne jest również zezwolenie na prowadzenie systemu kaucyjnego, które wydaje minister właściwy ds. klimatu.</w:t>
      </w:r>
    </w:p>
    <w:p w14:paraId="6B1935CC" w14:textId="77777777" w:rsidR="00FE31CA" w:rsidRPr="006B364E" w:rsidRDefault="00FE31CA" w:rsidP="00FE31CA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6B364E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Zgodnie z przepisami, transakcja podlega zgłoszeniu do urzędu antymonopolowego, jeżeli biorą w niej udział przedsiębiorcy, których łączny obrót w roku poprzedzającym przekroczył 1 mld euro na świecie lub 50 mln euro w Polsce.</w:t>
      </w:r>
      <w:r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</w:p>
    <w:p w14:paraId="4131D3E9" w14:textId="7BBDF26F" w:rsidR="00FE31CA" w:rsidRPr="006B364E" w:rsidRDefault="002E6CB2" w:rsidP="00FE31CA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>
        <w:rPr>
          <w:rFonts w:ascii="Trebuchet MS" w:hAnsi="Trebuchet MS" w:cs="Tahoma"/>
          <w:color w:val="000000" w:themeColor="text1"/>
          <w:sz w:val="22"/>
          <w:szCs w:val="22"/>
        </w:rPr>
        <w:t>I</w:t>
      </w:r>
      <w:r w:rsidR="00FE31CA" w:rsidRPr="006B364E">
        <w:rPr>
          <w:rFonts w:ascii="Trebuchet MS" w:hAnsi="Trebuchet MS" w:cs="Tahoma"/>
          <w:color w:val="000000" w:themeColor="text1"/>
          <w:sz w:val="22"/>
          <w:szCs w:val="22"/>
        </w:rPr>
        <w:t>nformujemy, że </w:t>
      </w:r>
      <w:hyperlink r:id="rId8" w:history="1">
        <w:r w:rsidR="00FE31CA" w:rsidRPr="006B364E">
          <w:rPr>
            <w:rStyle w:val="Hipercze"/>
            <w:rFonts w:ascii="Trebuchet MS" w:eastAsia="Calibri" w:hAnsi="Trebuchet MS" w:cs="Tahoma"/>
            <w:color w:val="000000" w:themeColor="text1"/>
            <w:sz w:val="22"/>
            <w:szCs w:val="22"/>
          </w:rPr>
          <w:t>na stronie internetowej urzędu </w:t>
        </w:r>
      </w:hyperlink>
      <w:r w:rsidR="00FE31CA" w:rsidRPr="006B364E">
        <w:rPr>
          <w:rFonts w:ascii="Trebuchet MS" w:hAnsi="Trebuchet MS" w:cs="Tahoma"/>
          <w:color w:val="000000" w:themeColor="text1"/>
          <w:sz w:val="22"/>
          <w:szCs w:val="22"/>
        </w:rPr>
        <w:t>zamieszczane są informacje na temat wszystkich prowadzonych przez UOKiK postępowań antymonopolowych w sprawach koncentracji.</w:t>
      </w:r>
    </w:p>
    <w:p w14:paraId="2F9B74C7" w14:textId="77777777" w:rsidR="00FE31CA" w:rsidRPr="006B364E" w:rsidRDefault="00FE31CA" w:rsidP="00FE31CA">
      <w:pPr>
        <w:shd w:val="clear" w:color="auto" w:fill="FFFFFF"/>
        <w:spacing w:after="240" w:line="360" w:lineRule="auto"/>
        <w:jc w:val="both"/>
        <w:rPr>
          <w:sz w:val="22"/>
        </w:rPr>
      </w:pPr>
    </w:p>
    <w:p w14:paraId="098C9422" w14:textId="77777777" w:rsidR="008F798E" w:rsidRDefault="008F798E" w:rsidP="008F798E">
      <w:pPr>
        <w:shd w:val="clear" w:color="auto" w:fill="FFFFFF"/>
        <w:spacing w:after="240" w:line="360" w:lineRule="auto"/>
        <w:jc w:val="both"/>
        <w:rPr>
          <w:sz w:val="22"/>
        </w:rPr>
      </w:pPr>
    </w:p>
    <w:p w14:paraId="3E1506A3" w14:textId="77777777" w:rsidR="00760FF5" w:rsidRPr="00760FF5" w:rsidRDefault="00760FF5" w:rsidP="00760FF5">
      <w:pPr>
        <w:spacing w:after="240" w:line="360" w:lineRule="auto"/>
        <w:jc w:val="both"/>
        <w:rPr>
          <w:rFonts w:ascii="Times New Roman" w:hAnsi="Times New Roman"/>
          <w:color w:val="000000"/>
          <w:sz w:val="22"/>
          <w:lang w:eastAsia="en-GB"/>
        </w:rPr>
      </w:pPr>
    </w:p>
    <w:sectPr w:rsidR="00760FF5" w:rsidRPr="00760FF5" w:rsidSect="00240013">
      <w:headerReference w:type="default" r:id="rId9"/>
      <w:footerReference w:type="default" r:id="rId10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A5A50" w14:textId="77777777" w:rsidR="006108C8" w:rsidRDefault="006108C8">
      <w:r>
        <w:separator/>
      </w:r>
    </w:p>
  </w:endnote>
  <w:endnote w:type="continuationSeparator" w:id="0">
    <w:p w14:paraId="25E6030C" w14:textId="77777777" w:rsidR="006108C8" w:rsidRDefault="0061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F6B9C" w14:textId="77777777" w:rsidR="006108C8" w:rsidRDefault="006108C8">
      <w:r>
        <w:separator/>
      </w:r>
    </w:p>
  </w:footnote>
  <w:footnote w:type="continuationSeparator" w:id="0">
    <w:p w14:paraId="55EE5557" w14:textId="77777777" w:rsidR="006108C8" w:rsidRDefault="0061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BDB"/>
    <w:multiLevelType w:val="hybridMultilevel"/>
    <w:tmpl w:val="4FC6A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5CF7"/>
    <w:multiLevelType w:val="hybridMultilevel"/>
    <w:tmpl w:val="7C00A9BA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5070F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C58BB"/>
    <w:multiLevelType w:val="hybridMultilevel"/>
    <w:tmpl w:val="74C4EF72"/>
    <w:styleLink w:val="WasnyStyl1"/>
    <w:lvl w:ilvl="0" w:tplc="B2D29BD4">
      <w:start w:val="1"/>
      <w:numFmt w:val="upperRoman"/>
      <w:pStyle w:val="Sentencja"/>
      <w:lvlText w:val="%1."/>
      <w:lvlJc w:val="right"/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0871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4639E"/>
    <w:multiLevelType w:val="hybridMultilevel"/>
    <w:tmpl w:val="C04E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E1DE1"/>
    <w:multiLevelType w:val="hybridMultilevel"/>
    <w:tmpl w:val="730643D0"/>
    <w:lvl w:ilvl="0" w:tplc="07080D14">
      <w:start w:val="1"/>
      <w:numFmt w:val="decimal"/>
      <w:lvlText w:val="(%1)"/>
      <w:lvlJc w:val="left"/>
      <w:pPr>
        <w:ind w:left="851" w:hanging="851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BB71CB"/>
    <w:multiLevelType w:val="hybridMultilevel"/>
    <w:tmpl w:val="A5BED532"/>
    <w:lvl w:ilvl="0" w:tplc="9CE80FE4">
      <w:start w:val="1"/>
      <w:numFmt w:val="decimal"/>
      <w:pStyle w:val="TekstNB2"/>
      <w:lvlText w:val="(%1)"/>
      <w:lvlJc w:val="left"/>
      <w:pPr>
        <w:ind w:left="851" w:hanging="85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5"/>
  </w:num>
  <w:num w:numId="10">
    <w:abstractNumId w:val="5"/>
  </w:num>
  <w:num w:numId="11">
    <w:abstractNumId w:val="13"/>
  </w:num>
  <w:num w:numId="12">
    <w:abstractNumId w:val="1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2E00"/>
    <w:rsid w:val="00023634"/>
    <w:rsid w:val="0002523D"/>
    <w:rsid w:val="00035F7B"/>
    <w:rsid w:val="00042F96"/>
    <w:rsid w:val="00054ACD"/>
    <w:rsid w:val="000651E9"/>
    <w:rsid w:val="00073AA7"/>
    <w:rsid w:val="000838C2"/>
    <w:rsid w:val="000913F7"/>
    <w:rsid w:val="00091C30"/>
    <w:rsid w:val="000A6415"/>
    <w:rsid w:val="000A74FA"/>
    <w:rsid w:val="000B149D"/>
    <w:rsid w:val="000B1AC5"/>
    <w:rsid w:val="000B7247"/>
    <w:rsid w:val="000F50EE"/>
    <w:rsid w:val="001002C5"/>
    <w:rsid w:val="00105458"/>
    <w:rsid w:val="0010559C"/>
    <w:rsid w:val="00106D3E"/>
    <w:rsid w:val="00107844"/>
    <w:rsid w:val="001123F2"/>
    <w:rsid w:val="00114D63"/>
    <w:rsid w:val="00116102"/>
    <w:rsid w:val="00120FBD"/>
    <w:rsid w:val="0012424D"/>
    <w:rsid w:val="0013159A"/>
    <w:rsid w:val="0013539E"/>
    <w:rsid w:val="00135455"/>
    <w:rsid w:val="00137580"/>
    <w:rsid w:val="00137B9B"/>
    <w:rsid w:val="00143029"/>
    <w:rsid w:val="00143310"/>
    <w:rsid w:val="00143885"/>
    <w:rsid w:val="00144E9C"/>
    <w:rsid w:val="0016078E"/>
    <w:rsid w:val="00161094"/>
    <w:rsid w:val="00161865"/>
    <w:rsid w:val="00163DF9"/>
    <w:rsid w:val="001666D6"/>
    <w:rsid w:val="00166B5D"/>
    <w:rsid w:val="001675EF"/>
    <w:rsid w:val="0017028A"/>
    <w:rsid w:val="001717C7"/>
    <w:rsid w:val="00173900"/>
    <w:rsid w:val="00181302"/>
    <w:rsid w:val="00190D5A"/>
    <w:rsid w:val="001979B5"/>
    <w:rsid w:val="001A5F7C"/>
    <w:rsid w:val="001A6E5B"/>
    <w:rsid w:val="001A7451"/>
    <w:rsid w:val="001C1FAD"/>
    <w:rsid w:val="001C421E"/>
    <w:rsid w:val="001C6E51"/>
    <w:rsid w:val="001E0E03"/>
    <w:rsid w:val="001E188E"/>
    <w:rsid w:val="001E4F92"/>
    <w:rsid w:val="001F4A73"/>
    <w:rsid w:val="0020105E"/>
    <w:rsid w:val="00205580"/>
    <w:rsid w:val="002157BB"/>
    <w:rsid w:val="00221024"/>
    <w:rsid w:val="0022375C"/>
    <w:rsid w:val="002262B5"/>
    <w:rsid w:val="00230CF1"/>
    <w:rsid w:val="0023138D"/>
    <w:rsid w:val="002370FD"/>
    <w:rsid w:val="002379B9"/>
    <w:rsid w:val="00240013"/>
    <w:rsid w:val="0024118E"/>
    <w:rsid w:val="00241BAC"/>
    <w:rsid w:val="00243FA6"/>
    <w:rsid w:val="002502C3"/>
    <w:rsid w:val="00251D9A"/>
    <w:rsid w:val="00253E62"/>
    <w:rsid w:val="0025532A"/>
    <w:rsid w:val="00260382"/>
    <w:rsid w:val="00262362"/>
    <w:rsid w:val="002637F6"/>
    <w:rsid w:val="00266CB4"/>
    <w:rsid w:val="002674A9"/>
    <w:rsid w:val="00267DD1"/>
    <w:rsid w:val="002706B2"/>
    <w:rsid w:val="00272E71"/>
    <w:rsid w:val="002760D2"/>
    <w:rsid w:val="002801AA"/>
    <w:rsid w:val="002817D5"/>
    <w:rsid w:val="00286E54"/>
    <w:rsid w:val="00295B34"/>
    <w:rsid w:val="002A5D69"/>
    <w:rsid w:val="002B1DBF"/>
    <w:rsid w:val="002B404B"/>
    <w:rsid w:val="002C0D29"/>
    <w:rsid w:val="002C0D5D"/>
    <w:rsid w:val="002C1818"/>
    <w:rsid w:val="002C5AF4"/>
    <w:rsid w:val="002C692D"/>
    <w:rsid w:val="002C6ABE"/>
    <w:rsid w:val="002D19F7"/>
    <w:rsid w:val="002D5EED"/>
    <w:rsid w:val="002E2796"/>
    <w:rsid w:val="002E388C"/>
    <w:rsid w:val="002E6CB2"/>
    <w:rsid w:val="002E7EEE"/>
    <w:rsid w:val="002F1BF3"/>
    <w:rsid w:val="002F30D4"/>
    <w:rsid w:val="002F362A"/>
    <w:rsid w:val="002F4D43"/>
    <w:rsid w:val="003056C6"/>
    <w:rsid w:val="00310436"/>
    <w:rsid w:val="00310A95"/>
    <w:rsid w:val="00311B14"/>
    <w:rsid w:val="00324306"/>
    <w:rsid w:val="003278D6"/>
    <w:rsid w:val="003303F0"/>
    <w:rsid w:val="00337174"/>
    <w:rsid w:val="0034059B"/>
    <w:rsid w:val="00346E07"/>
    <w:rsid w:val="0035019C"/>
    <w:rsid w:val="00360248"/>
    <w:rsid w:val="00360C66"/>
    <w:rsid w:val="00361ECC"/>
    <w:rsid w:val="00363029"/>
    <w:rsid w:val="00366A46"/>
    <w:rsid w:val="003747E3"/>
    <w:rsid w:val="00374CB6"/>
    <w:rsid w:val="00377810"/>
    <w:rsid w:val="00377A0D"/>
    <w:rsid w:val="0038677D"/>
    <w:rsid w:val="00386B53"/>
    <w:rsid w:val="00390405"/>
    <w:rsid w:val="00390D1D"/>
    <w:rsid w:val="003933B4"/>
    <w:rsid w:val="0039636E"/>
    <w:rsid w:val="003976C4"/>
    <w:rsid w:val="003A47D6"/>
    <w:rsid w:val="003B5CDF"/>
    <w:rsid w:val="003B7C19"/>
    <w:rsid w:val="003C06A8"/>
    <w:rsid w:val="003D0B1B"/>
    <w:rsid w:val="003D3FF4"/>
    <w:rsid w:val="003D5577"/>
    <w:rsid w:val="003D5DCC"/>
    <w:rsid w:val="003D7161"/>
    <w:rsid w:val="003E3F9D"/>
    <w:rsid w:val="003E60E2"/>
    <w:rsid w:val="003E69E5"/>
    <w:rsid w:val="003F347F"/>
    <w:rsid w:val="00400CFB"/>
    <w:rsid w:val="0040748E"/>
    <w:rsid w:val="00412206"/>
    <w:rsid w:val="00412DF9"/>
    <w:rsid w:val="00427E08"/>
    <w:rsid w:val="00430491"/>
    <w:rsid w:val="00431168"/>
    <w:rsid w:val="00432A3D"/>
    <w:rsid w:val="004349BA"/>
    <w:rsid w:val="0043575C"/>
    <w:rsid w:val="004365C7"/>
    <w:rsid w:val="0043746B"/>
    <w:rsid w:val="004425B7"/>
    <w:rsid w:val="00444A85"/>
    <w:rsid w:val="00450331"/>
    <w:rsid w:val="00453CF6"/>
    <w:rsid w:val="0046012B"/>
    <w:rsid w:val="004620D2"/>
    <w:rsid w:val="00462CFA"/>
    <w:rsid w:val="004817A1"/>
    <w:rsid w:val="00483347"/>
    <w:rsid w:val="00486DB1"/>
    <w:rsid w:val="004872FF"/>
    <w:rsid w:val="00487364"/>
    <w:rsid w:val="00491C74"/>
    <w:rsid w:val="00493E10"/>
    <w:rsid w:val="004972E8"/>
    <w:rsid w:val="004A5353"/>
    <w:rsid w:val="004C0F9E"/>
    <w:rsid w:val="004C1243"/>
    <w:rsid w:val="004C3D4C"/>
    <w:rsid w:val="004C5C26"/>
    <w:rsid w:val="004D13CB"/>
    <w:rsid w:val="004E487B"/>
    <w:rsid w:val="004E7BD4"/>
    <w:rsid w:val="004E7C88"/>
    <w:rsid w:val="004F47F3"/>
    <w:rsid w:val="004F493B"/>
    <w:rsid w:val="004F718B"/>
    <w:rsid w:val="004F7E99"/>
    <w:rsid w:val="005003F9"/>
    <w:rsid w:val="0050417B"/>
    <w:rsid w:val="0050508C"/>
    <w:rsid w:val="005133CE"/>
    <w:rsid w:val="00521BA3"/>
    <w:rsid w:val="00523E0D"/>
    <w:rsid w:val="00525588"/>
    <w:rsid w:val="00525D76"/>
    <w:rsid w:val="0052710E"/>
    <w:rsid w:val="00536FF2"/>
    <w:rsid w:val="005442FC"/>
    <w:rsid w:val="00544E18"/>
    <w:rsid w:val="005470CA"/>
    <w:rsid w:val="0055631D"/>
    <w:rsid w:val="00563889"/>
    <w:rsid w:val="005645CE"/>
    <w:rsid w:val="00590B79"/>
    <w:rsid w:val="00593935"/>
    <w:rsid w:val="005973FD"/>
    <w:rsid w:val="00597C68"/>
    <w:rsid w:val="005A382B"/>
    <w:rsid w:val="005A4047"/>
    <w:rsid w:val="005A5BE1"/>
    <w:rsid w:val="005A7271"/>
    <w:rsid w:val="005B0B20"/>
    <w:rsid w:val="005B0B48"/>
    <w:rsid w:val="005B458A"/>
    <w:rsid w:val="005B5904"/>
    <w:rsid w:val="005C0D39"/>
    <w:rsid w:val="005C4C4B"/>
    <w:rsid w:val="005C6232"/>
    <w:rsid w:val="005D0C49"/>
    <w:rsid w:val="005D6F7A"/>
    <w:rsid w:val="005E5B88"/>
    <w:rsid w:val="005E78EE"/>
    <w:rsid w:val="005F139F"/>
    <w:rsid w:val="005F1EBD"/>
    <w:rsid w:val="006013F0"/>
    <w:rsid w:val="006063D0"/>
    <w:rsid w:val="006108C8"/>
    <w:rsid w:val="00613C45"/>
    <w:rsid w:val="006157A2"/>
    <w:rsid w:val="00631BC2"/>
    <w:rsid w:val="00633D4E"/>
    <w:rsid w:val="0063526F"/>
    <w:rsid w:val="00637E86"/>
    <w:rsid w:val="00642285"/>
    <w:rsid w:val="006422DE"/>
    <w:rsid w:val="006439FA"/>
    <w:rsid w:val="0065108D"/>
    <w:rsid w:val="0065382C"/>
    <w:rsid w:val="0065660B"/>
    <w:rsid w:val="00662FB3"/>
    <w:rsid w:val="006724E9"/>
    <w:rsid w:val="006727B0"/>
    <w:rsid w:val="0067485D"/>
    <w:rsid w:val="00680CC9"/>
    <w:rsid w:val="00684AC5"/>
    <w:rsid w:val="00686544"/>
    <w:rsid w:val="006A2065"/>
    <w:rsid w:val="006A3D88"/>
    <w:rsid w:val="006A4A7A"/>
    <w:rsid w:val="006B0848"/>
    <w:rsid w:val="006B733D"/>
    <w:rsid w:val="006C34AE"/>
    <w:rsid w:val="006C67AF"/>
    <w:rsid w:val="006D26BF"/>
    <w:rsid w:val="006D2B71"/>
    <w:rsid w:val="006D3DC5"/>
    <w:rsid w:val="006E125B"/>
    <w:rsid w:val="006F143B"/>
    <w:rsid w:val="007039EC"/>
    <w:rsid w:val="007074AA"/>
    <w:rsid w:val="00714664"/>
    <w:rsid w:val="0071572D"/>
    <w:rsid w:val="007157BA"/>
    <w:rsid w:val="007169F9"/>
    <w:rsid w:val="007174A6"/>
    <w:rsid w:val="007214F1"/>
    <w:rsid w:val="007224B3"/>
    <w:rsid w:val="00731303"/>
    <w:rsid w:val="0073172C"/>
    <w:rsid w:val="00733E27"/>
    <w:rsid w:val="007402E0"/>
    <w:rsid w:val="0074489D"/>
    <w:rsid w:val="00746549"/>
    <w:rsid w:val="007508E9"/>
    <w:rsid w:val="007514AD"/>
    <w:rsid w:val="00754634"/>
    <w:rsid w:val="0075524D"/>
    <w:rsid w:val="007560B0"/>
    <w:rsid w:val="00756DC4"/>
    <w:rsid w:val="00760FF5"/>
    <w:rsid w:val="007627D7"/>
    <w:rsid w:val="00772A89"/>
    <w:rsid w:val="007731C8"/>
    <w:rsid w:val="00773403"/>
    <w:rsid w:val="00776313"/>
    <w:rsid w:val="00776C4F"/>
    <w:rsid w:val="00780CB7"/>
    <w:rsid w:val="00781261"/>
    <w:rsid w:val="007838E4"/>
    <w:rsid w:val="00783F6A"/>
    <w:rsid w:val="007846DC"/>
    <w:rsid w:val="00785AF4"/>
    <w:rsid w:val="00786D88"/>
    <w:rsid w:val="007920B8"/>
    <w:rsid w:val="007A19D8"/>
    <w:rsid w:val="007A4D3C"/>
    <w:rsid w:val="007C1E49"/>
    <w:rsid w:val="007C2DBF"/>
    <w:rsid w:val="007E36E4"/>
    <w:rsid w:val="007F0ACE"/>
    <w:rsid w:val="007F3AEA"/>
    <w:rsid w:val="007F4C3E"/>
    <w:rsid w:val="007F68F7"/>
    <w:rsid w:val="00800F0E"/>
    <w:rsid w:val="0080264E"/>
    <w:rsid w:val="00804024"/>
    <w:rsid w:val="0081753E"/>
    <w:rsid w:val="00823B8E"/>
    <w:rsid w:val="00824E82"/>
    <w:rsid w:val="008274C2"/>
    <w:rsid w:val="00830825"/>
    <w:rsid w:val="008358D5"/>
    <w:rsid w:val="00837D33"/>
    <w:rsid w:val="0085010E"/>
    <w:rsid w:val="0085454F"/>
    <w:rsid w:val="00862D6A"/>
    <w:rsid w:val="00865EA3"/>
    <w:rsid w:val="008705DA"/>
    <w:rsid w:val="0087354F"/>
    <w:rsid w:val="0089109C"/>
    <w:rsid w:val="00892D9F"/>
    <w:rsid w:val="00896985"/>
    <w:rsid w:val="008A31D8"/>
    <w:rsid w:val="008A409C"/>
    <w:rsid w:val="008A77FF"/>
    <w:rsid w:val="008B5E07"/>
    <w:rsid w:val="008C040D"/>
    <w:rsid w:val="008C274D"/>
    <w:rsid w:val="008C28C5"/>
    <w:rsid w:val="008C31B0"/>
    <w:rsid w:val="008C5215"/>
    <w:rsid w:val="008C53D0"/>
    <w:rsid w:val="008D43CA"/>
    <w:rsid w:val="008D527A"/>
    <w:rsid w:val="008D56DA"/>
    <w:rsid w:val="008D5771"/>
    <w:rsid w:val="008D6FD0"/>
    <w:rsid w:val="008E0029"/>
    <w:rsid w:val="008E534F"/>
    <w:rsid w:val="008E5991"/>
    <w:rsid w:val="008F46F8"/>
    <w:rsid w:val="008F472E"/>
    <w:rsid w:val="008F69B5"/>
    <w:rsid w:val="008F6F5A"/>
    <w:rsid w:val="008F798E"/>
    <w:rsid w:val="00902556"/>
    <w:rsid w:val="0090338C"/>
    <w:rsid w:val="0091048E"/>
    <w:rsid w:val="0091635B"/>
    <w:rsid w:val="00920CB2"/>
    <w:rsid w:val="009217EC"/>
    <w:rsid w:val="0092412E"/>
    <w:rsid w:val="00924ABC"/>
    <w:rsid w:val="00940E8F"/>
    <w:rsid w:val="009415E3"/>
    <w:rsid w:val="00942392"/>
    <w:rsid w:val="0095309C"/>
    <w:rsid w:val="009652F2"/>
    <w:rsid w:val="009719ED"/>
    <w:rsid w:val="00981F80"/>
    <w:rsid w:val="00986C37"/>
    <w:rsid w:val="00994EAE"/>
    <w:rsid w:val="00997528"/>
    <w:rsid w:val="0099796A"/>
    <w:rsid w:val="009A0AFC"/>
    <w:rsid w:val="009A103A"/>
    <w:rsid w:val="009A5F9B"/>
    <w:rsid w:val="009A7C52"/>
    <w:rsid w:val="009B3709"/>
    <w:rsid w:val="009C1346"/>
    <w:rsid w:val="009C1F1B"/>
    <w:rsid w:val="009D05C8"/>
    <w:rsid w:val="009D49D9"/>
    <w:rsid w:val="009E0F56"/>
    <w:rsid w:val="009E3C0B"/>
    <w:rsid w:val="009E558C"/>
    <w:rsid w:val="009F5610"/>
    <w:rsid w:val="00A13244"/>
    <w:rsid w:val="00A17783"/>
    <w:rsid w:val="00A231E6"/>
    <w:rsid w:val="00A239AA"/>
    <w:rsid w:val="00A23C7D"/>
    <w:rsid w:val="00A353AE"/>
    <w:rsid w:val="00A37314"/>
    <w:rsid w:val="00A439E8"/>
    <w:rsid w:val="00A45753"/>
    <w:rsid w:val="00A51CE5"/>
    <w:rsid w:val="00A52541"/>
    <w:rsid w:val="00A53423"/>
    <w:rsid w:val="00A57037"/>
    <w:rsid w:val="00A62659"/>
    <w:rsid w:val="00A65F20"/>
    <w:rsid w:val="00A76293"/>
    <w:rsid w:val="00A77DA2"/>
    <w:rsid w:val="00A85D9D"/>
    <w:rsid w:val="00A92C4C"/>
    <w:rsid w:val="00A92F82"/>
    <w:rsid w:val="00A97E0C"/>
    <w:rsid w:val="00AA358C"/>
    <w:rsid w:val="00AA3D14"/>
    <w:rsid w:val="00AA602D"/>
    <w:rsid w:val="00AA66D2"/>
    <w:rsid w:val="00AB572D"/>
    <w:rsid w:val="00AC135B"/>
    <w:rsid w:val="00AD494C"/>
    <w:rsid w:val="00AD5568"/>
    <w:rsid w:val="00AD616E"/>
    <w:rsid w:val="00AE17B1"/>
    <w:rsid w:val="00AE1F5C"/>
    <w:rsid w:val="00AE2923"/>
    <w:rsid w:val="00AE4C0D"/>
    <w:rsid w:val="00AE7F9D"/>
    <w:rsid w:val="00AF0BAD"/>
    <w:rsid w:val="00AF1794"/>
    <w:rsid w:val="00AF6D90"/>
    <w:rsid w:val="00B028F7"/>
    <w:rsid w:val="00B048CD"/>
    <w:rsid w:val="00B075C5"/>
    <w:rsid w:val="00B14C74"/>
    <w:rsid w:val="00B20BAA"/>
    <w:rsid w:val="00B20C12"/>
    <w:rsid w:val="00B22863"/>
    <w:rsid w:val="00B316A3"/>
    <w:rsid w:val="00B41502"/>
    <w:rsid w:val="00B51024"/>
    <w:rsid w:val="00B512B5"/>
    <w:rsid w:val="00B55068"/>
    <w:rsid w:val="00B60CD8"/>
    <w:rsid w:val="00B60F9C"/>
    <w:rsid w:val="00B620C6"/>
    <w:rsid w:val="00B63D9D"/>
    <w:rsid w:val="00B6769E"/>
    <w:rsid w:val="00B7221E"/>
    <w:rsid w:val="00B73F22"/>
    <w:rsid w:val="00B76E1F"/>
    <w:rsid w:val="00B76F9A"/>
    <w:rsid w:val="00B774D3"/>
    <w:rsid w:val="00B810B2"/>
    <w:rsid w:val="00B9278C"/>
    <w:rsid w:val="00B9420B"/>
    <w:rsid w:val="00B9619E"/>
    <w:rsid w:val="00B9755F"/>
    <w:rsid w:val="00BA26F7"/>
    <w:rsid w:val="00BA3667"/>
    <w:rsid w:val="00BA79F0"/>
    <w:rsid w:val="00BB5068"/>
    <w:rsid w:val="00BB7AE8"/>
    <w:rsid w:val="00BC1BE3"/>
    <w:rsid w:val="00BC373E"/>
    <w:rsid w:val="00BC6897"/>
    <w:rsid w:val="00BC7A2B"/>
    <w:rsid w:val="00BD0481"/>
    <w:rsid w:val="00BD3155"/>
    <w:rsid w:val="00BD4447"/>
    <w:rsid w:val="00BD4539"/>
    <w:rsid w:val="00BD6253"/>
    <w:rsid w:val="00BE2623"/>
    <w:rsid w:val="00BE3923"/>
    <w:rsid w:val="00BE4BF0"/>
    <w:rsid w:val="00BE5EE5"/>
    <w:rsid w:val="00BE68EE"/>
    <w:rsid w:val="00BE7F63"/>
    <w:rsid w:val="00BF45FB"/>
    <w:rsid w:val="00BF762D"/>
    <w:rsid w:val="00C10607"/>
    <w:rsid w:val="00C123B1"/>
    <w:rsid w:val="00C20E8A"/>
    <w:rsid w:val="00C21071"/>
    <w:rsid w:val="00C221D1"/>
    <w:rsid w:val="00C2398C"/>
    <w:rsid w:val="00C2549C"/>
    <w:rsid w:val="00C25569"/>
    <w:rsid w:val="00C27366"/>
    <w:rsid w:val="00C61472"/>
    <w:rsid w:val="00C63AA8"/>
    <w:rsid w:val="00C701B4"/>
    <w:rsid w:val="00C703E3"/>
    <w:rsid w:val="00C74A5D"/>
    <w:rsid w:val="00C7783C"/>
    <w:rsid w:val="00C80EE3"/>
    <w:rsid w:val="00C81210"/>
    <w:rsid w:val="00C84994"/>
    <w:rsid w:val="00C853EE"/>
    <w:rsid w:val="00C92F5A"/>
    <w:rsid w:val="00C930F4"/>
    <w:rsid w:val="00C967B5"/>
    <w:rsid w:val="00CA1CA7"/>
    <w:rsid w:val="00CA2D9E"/>
    <w:rsid w:val="00CA3F6E"/>
    <w:rsid w:val="00CA6B58"/>
    <w:rsid w:val="00CB1298"/>
    <w:rsid w:val="00CB1AE6"/>
    <w:rsid w:val="00CB3ED4"/>
    <w:rsid w:val="00CB3F86"/>
    <w:rsid w:val="00CB4EC8"/>
    <w:rsid w:val="00CD34F0"/>
    <w:rsid w:val="00CD3EB9"/>
    <w:rsid w:val="00CD65DD"/>
    <w:rsid w:val="00CD6EA5"/>
    <w:rsid w:val="00CD7371"/>
    <w:rsid w:val="00CD77AB"/>
    <w:rsid w:val="00CE0954"/>
    <w:rsid w:val="00CE2C02"/>
    <w:rsid w:val="00CF08B6"/>
    <w:rsid w:val="00CF11F7"/>
    <w:rsid w:val="00CF2175"/>
    <w:rsid w:val="00CF23AE"/>
    <w:rsid w:val="00D02D54"/>
    <w:rsid w:val="00D05E94"/>
    <w:rsid w:val="00D1323F"/>
    <w:rsid w:val="00D202BA"/>
    <w:rsid w:val="00D251AC"/>
    <w:rsid w:val="00D32050"/>
    <w:rsid w:val="00D37896"/>
    <w:rsid w:val="00D43766"/>
    <w:rsid w:val="00D47CCF"/>
    <w:rsid w:val="00D5587A"/>
    <w:rsid w:val="00D572FE"/>
    <w:rsid w:val="00D6457B"/>
    <w:rsid w:val="00D66DEC"/>
    <w:rsid w:val="00D71A41"/>
    <w:rsid w:val="00D733A2"/>
    <w:rsid w:val="00D74FB6"/>
    <w:rsid w:val="00D75401"/>
    <w:rsid w:val="00D7606C"/>
    <w:rsid w:val="00D768A4"/>
    <w:rsid w:val="00D82C9B"/>
    <w:rsid w:val="00D92F52"/>
    <w:rsid w:val="00DA753F"/>
    <w:rsid w:val="00DB0B95"/>
    <w:rsid w:val="00DB3985"/>
    <w:rsid w:val="00DB3AC1"/>
    <w:rsid w:val="00DC182C"/>
    <w:rsid w:val="00DC41C4"/>
    <w:rsid w:val="00DC5754"/>
    <w:rsid w:val="00DD34A3"/>
    <w:rsid w:val="00DD42B9"/>
    <w:rsid w:val="00DD552F"/>
    <w:rsid w:val="00DD6056"/>
    <w:rsid w:val="00DE0F4E"/>
    <w:rsid w:val="00DE7C6A"/>
    <w:rsid w:val="00DF2857"/>
    <w:rsid w:val="00DF782B"/>
    <w:rsid w:val="00E02B7B"/>
    <w:rsid w:val="00E03AEF"/>
    <w:rsid w:val="00E0509F"/>
    <w:rsid w:val="00E06504"/>
    <w:rsid w:val="00E102DE"/>
    <w:rsid w:val="00E1078D"/>
    <w:rsid w:val="00E15966"/>
    <w:rsid w:val="00E167E8"/>
    <w:rsid w:val="00E203AE"/>
    <w:rsid w:val="00E24825"/>
    <w:rsid w:val="00E304D6"/>
    <w:rsid w:val="00E4105C"/>
    <w:rsid w:val="00E42093"/>
    <w:rsid w:val="00E520C7"/>
    <w:rsid w:val="00E522AD"/>
    <w:rsid w:val="00E57B45"/>
    <w:rsid w:val="00E64103"/>
    <w:rsid w:val="00E72945"/>
    <w:rsid w:val="00E7448B"/>
    <w:rsid w:val="00E76CD1"/>
    <w:rsid w:val="00EA7F69"/>
    <w:rsid w:val="00EC13D8"/>
    <w:rsid w:val="00ED134F"/>
    <w:rsid w:val="00ED1EEB"/>
    <w:rsid w:val="00EE4AD8"/>
    <w:rsid w:val="00EF3CCE"/>
    <w:rsid w:val="00F01D85"/>
    <w:rsid w:val="00F054A3"/>
    <w:rsid w:val="00F06DA0"/>
    <w:rsid w:val="00F13028"/>
    <w:rsid w:val="00F1303F"/>
    <w:rsid w:val="00F139AC"/>
    <w:rsid w:val="00F14F2B"/>
    <w:rsid w:val="00F21EAC"/>
    <w:rsid w:val="00F3243D"/>
    <w:rsid w:val="00F40C3E"/>
    <w:rsid w:val="00F46D0D"/>
    <w:rsid w:val="00F678F7"/>
    <w:rsid w:val="00F772EC"/>
    <w:rsid w:val="00F92B59"/>
    <w:rsid w:val="00F948BC"/>
    <w:rsid w:val="00F94E17"/>
    <w:rsid w:val="00F960CF"/>
    <w:rsid w:val="00F96D10"/>
    <w:rsid w:val="00FA10A3"/>
    <w:rsid w:val="00FA1226"/>
    <w:rsid w:val="00FA63E9"/>
    <w:rsid w:val="00FB4237"/>
    <w:rsid w:val="00FB728B"/>
    <w:rsid w:val="00FC6346"/>
    <w:rsid w:val="00FD09D8"/>
    <w:rsid w:val="00FE31CA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customStyle="1" w:styleId="TekstprzypisudolnegoZnak">
    <w:name w:val="Tekst przypisu dolnego Znak"/>
    <w:aliases w:val="Znak Znak,Tekst przypisu Znak,Tekst przypisu dolnego Znak Znak Znak,Podrozdział Znak,Podrozdzia3 Znak,Tekst przypisu Znak Znak Znak Znak Znak1,Tekst przypisu Znak Znak Znak Znak Znak Znak,fn Znak,Char Char Znak"/>
    <w:basedOn w:val="Domylnaczcionkaakapitu"/>
    <w:link w:val="Tekstprzypisudolnego"/>
    <w:uiPriority w:val="99"/>
    <w:qFormat/>
    <w:locked/>
    <w:rsid w:val="008E534F"/>
    <w:rPr>
      <w:sz w:val="18"/>
    </w:rPr>
  </w:style>
  <w:style w:type="paragraph" w:styleId="Tekstprzypisudolnego">
    <w:name w:val="footnote text"/>
    <w:aliases w:val="Znak,Tekst przypisu,Tekst przypisu dolnego Znak Znak,Podrozdział,Podrozdzia3,Tekst przypisu Znak Znak Znak Znak,Tekst przypisu Znak Znak Znak Znak Znak,Tekst przypisu Znak Znak Znak Znak Znak Znak Znak,fn,Char Char,ALTS FOOTNOTE"/>
    <w:basedOn w:val="Normalny"/>
    <w:link w:val="TekstprzypisudolnegoZnak"/>
    <w:uiPriority w:val="99"/>
    <w:unhideWhenUsed/>
    <w:qFormat/>
    <w:rsid w:val="008E534F"/>
    <w:pPr>
      <w:jc w:val="both"/>
    </w:pPr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E534F"/>
    <w:rPr>
      <w:rFonts w:ascii="Trebuchet MS" w:eastAsia="Times New Roman" w:hAnsi="Trebuchet MS" w:cs="Times New Roman"/>
      <w:sz w:val="20"/>
      <w:szCs w:val="20"/>
    </w:rPr>
  </w:style>
  <w:style w:type="paragraph" w:customStyle="1" w:styleId="TekstNB2">
    <w:name w:val="Tekst_NB_2"/>
    <w:basedOn w:val="Akapitzlist"/>
    <w:autoRedefine/>
    <w:uiPriority w:val="99"/>
    <w:qFormat/>
    <w:rsid w:val="008E534F"/>
    <w:pPr>
      <w:numPr>
        <w:numId w:val="13"/>
      </w:numPr>
      <w:tabs>
        <w:tab w:val="num" w:pos="360"/>
      </w:tabs>
      <w:spacing w:before="120" w:after="120" w:line="360" w:lineRule="auto"/>
      <w:ind w:left="720" w:firstLine="0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wtabeliZnak">
    <w:name w:val="Tekst w tabeli Znak"/>
    <w:basedOn w:val="Domylnaczcionkaakapitu"/>
    <w:link w:val="Tekstwtabeli"/>
    <w:locked/>
    <w:rsid w:val="008E534F"/>
    <w:rPr>
      <w:sz w:val="18"/>
    </w:rPr>
  </w:style>
  <w:style w:type="paragraph" w:customStyle="1" w:styleId="Tekstwtabeli">
    <w:name w:val="Tekst w tabeli"/>
    <w:basedOn w:val="Normalny"/>
    <w:link w:val="TekstwtabeliZnak"/>
    <w:qFormat/>
    <w:rsid w:val="008E534F"/>
    <w:pPr>
      <w:spacing w:before="60" w:after="60" w:line="276" w:lineRule="auto"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PRZYPIS DOLNY,FZ,-E Fußnotenzeichen,FC,OdwoŁanie przypisu,Footnote reference number,BVI fnr"/>
    <w:basedOn w:val="Domylnaczcionkaakapitu"/>
    <w:link w:val="FootnoteReference1"/>
    <w:uiPriority w:val="99"/>
    <w:unhideWhenUsed/>
    <w:qFormat/>
    <w:rsid w:val="008E534F"/>
    <w:rPr>
      <w:rFonts w:ascii="Times New Roman" w:hAnsi="Times New Roman" w:cs="Times New Roman" w:hint="default"/>
      <w:vertAlign w:val="superscript"/>
    </w:rPr>
  </w:style>
  <w:style w:type="paragraph" w:customStyle="1" w:styleId="PKTROM">
    <w:name w:val="PKT_ROM"/>
    <w:basedOn w:val="TekstNB"/>
    <w:link w:val="PKTROMZnak"/>
    <w:qFormat/>
    <w:rsid w:val="00251D9A"/>
    <w:pPr>
      <w:numPr>
        <w:numId w:val="0"/>
      </w:numPr>
      <w:overflowPunct/>
      <w:autoSpaceDE/>
      <w:autoSpaceDN/>
      <w:adjustRightInd/>
      <w:ind w:left="851" w:firstLine="565"/>
      <w:textAlignment w:val="auto"/>
    </w:pPr>
    <w:rPr>
      <w:lang w:eastAsia="pl-PL"/>
    </w:rPr>
  </w:style>
  <w:style w:type="character" w:customStyle="1" w:styleId="PKTROMZnak">
    <w:name w:val="PKT_ROM Znak"/>
    <w:basedOn w:val="TekstNBZnak"/>
    <w:link w:val="PKTROM"/>
    <w:locked/>
    <w:rsid w:val="00251D9A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E57B45"/>
    <w:pPr>
      <w:numPr>
        <w:numId w:val="1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locked/>
    <w:rsid w:val="00E57B45"/>
    <w:rPr>
      <w:rFonts w:ascii="Times New Roman" w:eastAsia="Times New Roman" w:hAnsi="Times New Roman" w:cs="Times New Roman"/>
      <w:szCs w:val="24"/>
      <w:lang w:eastAsia="pl-PL"/>
    </w:rPr>
  </w:style>
  <w:style w:type="numbering" w:customStyle="1" w:styleId="WasnyStyl1">
    <w:name w:val="Własny Styl1"/>
    <w:rsid w:val="00E57B45"/>
    <w:pPr>
      <w:numPr>
        <w:numId w:val="15"/>
      </w:numPr>
    </w:pPr>
  </w:style>
  <w:style w:type="paragraph" w:styleId="NormalnyWeb">
    <w:name w:val="Normal (Web)"/>
    <w:basedOn w:val="Normalny"/>
    <w:uiPriority w:val="99"/>
    <w:unhideWhenUsed/>
    <w:rsid w:val="00920C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FootnoteReference1">
    <w:name w:val="Footnote Reference1"/>
    <w:basedOn w:val="Normalny"/>
    <w:link w:val="Odwoanieprzypisudolnego"/>
    <w:uiPriority w:val="99"/>
    <w:rsid w:val="001002C5"/>
    <w:pPr>
      <w:spacing w:after="160" w:line="240" w:lineRule="exact"/>
    </w:pPr>
    <w:rPr>
      <w:rFonts w:ascii="Times New Roman" w:eastAsiaTheme="minorHAnsi" w:hAnsi="Times New Roman"/>
      <w:sz w:val="22"/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E6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koncentracj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D1BE044D-B63F-45B2-A46E-F13E23EC338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Maciej Chmielowski</cp:lastModifiedBy>
  <cp:revision>2</cp:revision>
  <cp:lastPrinted>2019-03-06T14:11:00Z</cp:lastPrinted>
  <dcterms:created xsi:type="dcterms:W3CDTF">2024-06-21T08:09:00Z</dcterms:created>
  <dcterms:modified xsi:type="dcterms:W3CDTF">2024-06-21T08:09:00Z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01ce17b4-d30e-4bf8-b08e-f52624561794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