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E48E99E" w:rsidR="0089209F" w:rsidRPr="006571C9" w:rsidRDefault="0089209F" w:rsidP="006F1881">
      <w:pPr>
        <w:pStyle w:val="Nagwek"/>
        <w:spacing w:line="360" w:lineRule="auto"/>
        <w:rPr>
          <w:rFonts w:ascii="Arial" w:hAnsi="Arial" w:cs="Arial"/>
        </w:rPr>
      </w:pPr>
      <w:bookmarkStart w:id="0" w:name="_Hlk104358543"/>
      <w:bookmarkStart w:id="1" w:name="_Hlk104358949"/>
      <w:r w:rsidRPr="006571C9">
        <w:rPr>
          <w:rFonts w:ascii="Arial" w:hAnsi="Arial" w:cs="Arial"/>
        </w:rPr>
        <w:t xml:space="preserve">Rzeszów, </w:t>
      </w:r>
      <w:r w:rsidR="00E005DC" w:rsidRPr="006571C9">
        <w:rPr>
          <w:rFonts w:ascii="Arial" w:hAnsi="Arial" w:cs="Arial"/>
          <w:lang w:val="pl-PL"/>
        </w:rPr>
        <w:t>2</w:t>
      </w:r>
      <w:r w:rsidR="006571C9" w:rsidRPr="006571C9">
        <w:rPr>
          <w:rFonts w:ascii="Arial" w:hAnsi="Arial" w:cs="Arial"/>
          <w:lang w:val="pl-PL"/>
        </w:rPr>
        <w:t>6</w:t>
      </w:r>
      <w:r w:rsidRPr="006571C9">
        <w:rPr>
          <w:rFonts w:ascii="Arial" w:hAnsi="Arial" w:cs="Arial"/>
        </w:rPr>
        <w:t xml:space="preserve"> </w:t>
      </w:r>
      <w:r w:rsidR="006571C9" w:rsidRPr="006571C9">
        <w:rPr>
          <w:rFonts w:ascii="Arial" w:hAnsi="Arial" w:cs="Arial"/>
          <w:lang w:val="pl-PL"/>
        </w:rPr>
        <w:t xml:space="preserve">października </w:t>
      </w:r>
      <w:r w:rsidRPr="006571C9">
        <w:rPr>
          <w:rFonts w:ascii="Arial" w:hAnsi="Arial" w:cs="Arial"/>
        </w:rPr>
        <w:t>2022 r.</w:t>
      </w:r>
    </w:p>
    <w:p w14:paraId="067C078B" w14:textId="54869712" w:rsidR="0089209F" w:rsidRPr="006571C9" w:rsidRDefault="006571C9" w:rsidP="006F1881">
      <w:pPr>
        <w:pStyle w:val="Nagwek"/>
        <w:spacing w:line="360" w:lineRule="auto"/>
        <w:rPr>
          <w:rFonts w:ascii="Arial" w:hAnsi="Arial" w:cs="Arial"/>
        </w:rPr>
      </w:pPr>
      <w:r w:rsidRPr="006571C9">
        <w:rPr>
          <w:rFonts w:ascii="Arial" w:hAnsi="Arial" w:cs="Arial"/>
          <w:lang w:val="pl-PL"/>
        </w:rPr>
        <w:t>DP</w:t>
      </w:r>
      <w:r w:rsidR="0009281D" w:rsidRPr="006571C9">
        <w:rPr>
          <w:rFonts w:ascii="Arial" w:hAnsi="Arial" w:cs="Arial"/>
          <w:lang w:val="pl-PL"/>
        </w:rPr>
        <w:t>.8361.</w:t>
      </w:r>
      <w:r w:rsidRPr="006571C9">
        <w:rPr>
          <w:rFonts w:ascii="Arial" w:hAnsi="Arial" w:cs="Arial"/>
          <w:lang w:val="pl-PL"/>
        </w:rPr>
        <w:t>54</w:t>
      </w:r>
      <w:r w:rsidR="0009281D" w:rsidRPr="006571C9">
        <w:rPr>
          <w:rFonts w:ascii="Arial" w:hAnsi="Arial" w:cs="Arial"/>
          <w:lang w:val="pl-PL"/>
        </w:rPr>
        <w:t>.202</w:t>
      </w:r>
      <w:r w:rsidR="00E005DC" w:rsidRPr="006571C9">
        <w:rPr>
          <w:rFonts w:ascii="Arial" w:hAnsi="Arial" w:cs="Arial"/>
          <w:lang w:val="pl-PL"/>
        </w:rPr>
        <w:t>2</w:t>
      </w:r>
    </w:p>
    <w:bookmarkEnd w:id="0"/>
    <w:p w14:paraId="65E9E06F" w14:textId="7C4364F2" w:rsidR="00A96E78" w:rsidRPr="006571C9" w:rsidRDefault="00187AEB" w:rsidP="006F1881">
      <w:pPr>
        <w:pStyle w:val="Nagwek1"/>
        <w:spacing w:before="240" w:after="240" w:line="360" w:lineRule="auto"/>
        <w:jc w:val="left"/>
        <w:rPr>
          <w:rFonts w:ascii="Arial" w:hAnsi="Arial" w:cs="Arial"/>
          <w:sz w:val="28"/>
          <w:szCs w:val="28"/>
        </w:rPr>
      </w:pPr>
      <w:r w:rsidRPr="006571C9">
        <w:rPr>
          <w:rFonts w:ascii="Arial" w:hAnsi="Arial" w:cs="Arial"/>
          <w:sz w:val="28"/>
          <w:szCs w:val="28"/>
        </w:rPr>
        <w:t>Decyzja</w:t>
      </w:r>
    </w:p>
    <w:bookmarkEnd w:id="1"/>
    <w:p w14:paraId="268ACDE7" w14:textId="636EE4DC" w:rsidR="007F1BE6" w:rsidRPr="006571C9" w:rsidRDefault="0089209F" w:rsidP="006F1881">
      <w:pPr>
        <w:pStyle w:val="Nagwek"/>
        <w:tabs>
          <w:tab w:val="left" w:pos="708"/>
        </w:tabs>
        <w:spacing w:line="360" w:lineRule="auto"/>
        <w:rPr>
          <w:rFonts w:ascii="Arial" w:hAnsi="Arial" w:cs="Arial"/>
          <w:szCs w:val="24"/>
        </w:rPr>
      </w:pPr>
      <w:r w:rsidRPr="006571C9">
        <w:rPr>
          <w:rFonts w:ascii="Arial" w:hAnsi="Arial" w:cs="Arial"/>
          <w:szCs w:val="24"/>
        </w:rPr>
        <w:t xml:space="preserve">Na </w:t>
      </w:r>
      <w:r w:rsidR="006571C9" w:rsidRPr="006571C9">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po przeprowadzeniu postępowania administracyjnego wszczętego z urzędu</w:t>
      </w:r>
      <w:r w:rsidR="00065686" w:rsidRPr="006571C9">
        <w:rPr>
          <w:rFonts w:ascii="Arial" w:hAnsi="Arial" w:cs="Arial"/>
          <w:szCs w:val="24"/>
          <w:lang w:val="pl-PL"/>
        </w:rPr>
        <w:t>,</w:t>
      </w:r>
    </w:p>
    <w:p w14:paraId="6DEFC71B" w14:textId="4A4FF0E5" w:rsidR="007F1BE6" w:rsidRPr="006571C9" w:rsidRDefault="00774EB6" w:rsidP="006F1881">
      <w:pPr>
        <w:pStyle w:val="Nagwek2"/>
      </w:pPr>
      <w:r w:rsidRPr="006571C9">
        <w:t>Podkarpacki Wojewódzki Inspektor Inspekcji Handlowej wymierza</w:t>
      </w:r>
    </w:p>
    <w:p w14:paraId="31430C92" w14:textId="4A08960B" w:rsidR="00774EB6" w:rsidRPr="006571C9" w:rsidRDefault="00774EB6" w:rsidP="006F1881">
      <w:pPr>
        <w:pStyle w:val="Nagwek"/>
        <w:tabs>
          <w:tab w:val="left" w:pos="708"/>
        </w:tabs>
        <w:spacing w:line="360" w:lineRule="auto"/>
        <w:rPr>
          <w:rFonts w:ascii="Arial" w:hAnsi="Arial" w:cs="Arial"/>
          <w:szCs w:val="24"/>
        </w:rPr>
      </w:pPr>
      <w:r w:rsidRPr="006571C9">
        <w:rPr>
          <w:rFonts w:ascii="Arial" w:hAnsi="Arial" w:cs="Arial"/>
          <w:szCs w:val="24"/>
          <w:lang w:val="pl-PL"/>
        </w:rPr>
        <w:t xml:space="preserve">przedsiębiorcy – </w:t>
      </w:r>
      <w:r w:rsidR="006571C9" w:rsidRPr="006571C9">
        <w:rPr>
          <w:rFonts w:ascii="Arial" w:hAnsi="Arial" w:cs="Arial"/>
          <w:b/>
          <w:bCs/>
          <w:szCs w:val="24"/>
          <w:lang w:val="pl-PL"/>
        </w:rPr>
        <w:t>Zakład Usługowo-Handlowy „</w:t>
      </w:r>
      <w:proofErr w:type="spellStart"/>
      <w:r w:rsidR="006571C9" w:rsidRPr="006571C9">
        <w:rPr>
          <w:rFonts w:ascii="Arial" w:hAnsi="Arial" w:cs="Arial"/>
          <w:b/>
          <w:bCs/>
          <w:szCs w:val="24"/>
          <w:lang w:val="pl-PL"/>
        </w:rPr>
        <w:t>Agrolux</w:t>
      </w:r>
      <w:proofErr w:type="spellEnd"/>
      <w:r w:rsidR="006571C9" w:rsidRPr="006571C9">
        <w:rPr>
          <w:rFonts w:ascii="Arial" w:hAnsi="Arial" w:cs="Arial"/>
          <w:b/>
          <w:bCs/>
          <w:szCs w:val="24"/>
          <w:lang w:val="pl-PL"/>
        </w:rPr>
        <w:t xml:space="preserve">” Spółka z ograniczoną odpowiedzialnością, </w:t>
      </w:r>
      <w:r w:rsidR="006571C9" w:rsidRPr="006571C9">
        <w:rPr>
          <w:rFonts w:ascii="Arial" w:hAnsi="Arial" w:cs="Arial"/>
          <w:b/>
          <w:szCs w:val="24"/>
          <w:lang w:val="pl-PL"/>
        </w:rPr>
        <w:t>(dane zanonimizowane)</w:t>
      </w:r>
      <w:r w:rsidR="006571C9" w:rsidRPr="006571C9">
        <w:rPr>
          <w:rFonts w:ascii="Arial" w:hAnsi="Arial" w:cs="Arial"/>
          <w:b/>
          <w:bCs/>
          <w:szCs w:val="24"/>
          <w:lang w:val="pl-PL"/>
        </w:rPr>
        <w:t xml:space="preserve"> Jarosław</w:t>
      </w:r>
      <w:r w:rsidR="006571C9" w:rsidRPr="006571C9">
        <w:rPr>
          <w:rFonts w:ascii="Arial" w:hAnsi="Arial" w:cs="Arial"/>
          <w:szCs w:val="24"/>
          <w:lang w:val="pl-PL"/>
        </w:rPr>
        <w:t xml:space="preserve"> – karę pieniężną w wysokości</w:t>
      </w:r>
      <w:r w:rsidR="006571C9" w:rsidRPr="006571C9">
        <w:rPr>
          <w:rFonts w:ascii="Arial" w:hAnsi="Arial" w:cs="Arial"/>
          <w:b/>
          <w:bCs/>
          <w:szCs w:val="24"/>
          <w:lang w:val="pl-PL"/>
        </w:rPr>
        <w:t xml:space="preserve"> 400 złotych </w:t>
      </w:r>
      <w:r w:rsidR="006571C9" w:rsidRPr="006571C9">
        <w:rPr>
          <w:rFonts w:ascii="Arial" w:hAnsi="Arial" w:cs="Arial"/>
          <w:szCs w:val="24"/>
          <w:lang w:val="pl-PL"/>
        </w:rPr>
        <w:t>(słownie:</w:t>
      </w:r>
      <w:r w:rsidR="006571C9" w:rsidRPr="006571C9">
        <w:rPr>
          <w:rFonts w:ascii="Arial" w:hAnsi="Arial" w:cs="Arial"/>
          <w:b/>
          <w:bCs/>
          <w:szCs w:val="24"/>
          <w:lang w:val="pl-PL"/>
        </w:rPr>
        <w:t xml:space="preserve"> czterysta złotych</w:t>
      </w:r>
      <w:r w:rsidR="006571C9" w:rsidRPr="006571C9">
        <w:rPr>
          <w:rFonts w:ascii="Arial" w:hAnsi="Arial" w:cs="Arial"/>
          <w:szCs w:val="24"/>
          <w:lang w:val="pl-PL"/>
        </w:rPr>
        <w:t>) za niewykonanie w miejscu sprzedaży detalicznej tj. w placówce należącej do ww. spółki, zlokalizowanej przy ul.</w:t>
      </w:r>
      <w:r w:rsidR="006571C9" w:rsidRPr="006571C9">
        <w:rPr>
          <w:rFonts w:ascii="Arial" w:hAnsi="Arial" w:cs="Arial"/>
          <w:b/>
          <w:szCs w:val="24"/>
          <w:lang w:val="pl-PL"/>
        </w:rPr>
        <w:t xml:space="preserve"> (dane zanonimizowane) </w:t>
      </w:r>
      <w:r w:rsidR="006571C9" w:rsidRPr="006571C9">
        <w:rPr>
          <w:rFonts w:ascii="Arial" w:hAnsi="Arial" w:cs="Arial"/>
          <w:bCs/>
          <w:szCs w:val="24"/>
          <w:lang w:val="pl-PL"/>
        </w:rPr>
        <w:t>w Kańczudze, wynikającego z art. 4 ust. 1 ustawy o informowaniu o cenach towarów i usług obowiązku uwidaczniania cen jednostkowych w sposób jednoznaczny, niebudzący wątpliwości oraz umożliwiający ich porównanie z uwagi na stwierdzone nieprawidłowości</w:t>
      </w:r>
      <w:r w:rsidR="006571C9" w:rsidRPr="006571C9">
        <w:rPr>
          <w:rFonts w:ascii="Arial" w:hAnsi="Arial" w:cs="Arial"/>
          <w:b/>
          <w:bCs/>
          <w:szCs w:val="24"/>
          <w:lang w:val="pl-PL"/>
        </w:rPr>
        <w:t xml:space="preserve"> </w:t>
      </w:r>
      <w:r w:rsidR="006571C9" w:rsidRPr="006571C9">
        <w:rPr>
          <w:rFonts w:ascii="Arial" w:hAnsi="Arial" w:cs="Arial"/>
          <w:b/>
          <w:szCs w:val="24"/>
          <w:lang w:val="pl-PL"/>
        </w:rPr>
        <w:t>w zakresie uwidaczniania informacji o cenie jednostkowej dla łącznie 18 produktów</w:t>
      </w:r>
      <w:r w:rsidRPr="006571C9">
        <w:rPr>
          <w:rFonts w:ascii="Arial" w:hAnsi="Arial" w:cs="Arial"/>
          <w:szCs w:val="24"/>
        </w:rPr>
        <w:t xml:space="preserve">. </w:t>
      </w:r>
    </w:p>
    <w:p w14:paraId="637F9D98" w14:textId="0ECE6F3E" w:rsidR="00D74C22" w:rsidRPr="006571C9" w:rsidRDefault="00B65984" w:rsidP="006F1881">
      <w:pPr>
        <w:pStyle w:val="Nagwek2"/>
      </w:pPr>
      <w:r w:rsidRPr="006571C9">
        <w:t>Uzasadnienie</w:t>
      </w:r>
    </w:p>
    <w:p w14:paraId="37DF77B6" w14:textId="5E31DB1B" w:rsidR="006571C9" w:rsidRPr="006571C9" w:rsidRDefault="00D27EFC" w:rsidP="006571C9">
      <w:pPr>
        <w:pStyle w:val="Nagwek3"/>
        <w:spacing w:before="120"/>
        <w:rPr>
          <w:bCs w:val="0"/>
          <w:lang w:eastAsia="x-none"/>
        </w:rPr>
      </w:pPr>
      <w:r w:rsidRPr="006571C9">
        <w:rPr>
          <w:bCs w:val="0"/>
        </w:rPr>
        <w:t xml:space="preserve">Na </w:t>
      </w:r>
      <w:r w:rsidR="006571C9" w:rsidRPr="006571C9">
        <w:rPr>
          <w:bCs w:val="0"/>
          <w:lang w:eastAsia="x-none"/>
        </w:rPr>
        <w:t>podstawie art. 3 ust. 1 pkt 1 i 6 ustawy z dnia 15 grudnia 2000 r. o Inspekcji Handlowej (tekst jednolity: Dz. U. z 2020 r., poz. 1706) oraz art. 4 ust. 1 ustawy z dnia 9 maja 2014 r.</w:t>
      </w:r>
      <w:r w:rsidR="006571C9" w:rsidRPr="006571C9">
        <w:rPr>
          <w:bCs w:val="0"/>
        </w:rPr>
        <w:t xml:space="preserve"> </w:t>
      </w:r>
      <w:r w:rsidR="006571C9" w:rsidRPr="006571C9">
        <w:rPr>
          <w:bCs w:val="0"/>
          <w:lang w:eastAsia="x-none"/>
        </w:rPr>
        <w:t>o informowaniu o cenach towarów i usług (tekst jednolity: Dz. U. z 2019 r., poz. 178) inspektorzy z Delegatury w Przemyślu Wojewódzkiego Inspektoratu Inspekcji Handlowej</w:t>
      </w:r>
      <w:r w:rsidR="006571C9" w:rsidRPr="006571C9">
        <w:rPr>
          <w:bCs w:val="0"/>
        </w:rPr>
        <w:t xml:space="preserve"> </w:t>
      </w:r>
      <w:r w:rsidR="006571C9" w:rsidRPr="006571C9">
        <w:rPr>
          <w:bCs w:val="0"/>
          <w:lang w:eastAsia="x-none"/>
        </w:rPr>
        <w:t xml:space="preserve">w Rzeszowie, przeprowadzili w dniach 1 i 3 czerwca 2022 r. kontrolę w placówce zlokalizowanej przy ul. </w:t>
      </w:r>
      <w:r w:rsidR="006571C9" w:rsidRPr="006571C9">
        <w:rPr>
          <w:b/>
          <w:bCs w:val="0"/>
          <w:lang w:eastAsia="x-none"/>
        </w:rPr>
        <w:t xml:space="preserve">(dane zanonimizowane) </w:t>
      </w:r>
      <w:r w:rsidR="006571C9" w:rsidRPr="006571C9">
        <w:rPr>
          <w:bCs w:val="0"/>
          <w:lang w:eastAsia="x-none"/>
        </w:rPr>
        <w:t xml:space="preserve">w Kańczudze, należącej do: Zakład Usługowo-Handlowy </w:t>
      </w:r>
      <w:r w:rsidR="006571C9" w:rsidRPr="006571C9">
        <w:rPr>
          <w:bCs w:val="0"/>
          <w:lang w:eastAsia="x-none"/>
        </w:rPr>
        <w:lastRenderedPageBreak/>
        <w:t>„</w:t>
      </w:r>
      <w:proofErr w:type="spellStart"/>
      <w:r w:rsidR="006571C9" w:rsidRPr="006571C9">
        <w:rPr>
          <w:bCs w:val="0"/>
          <w:lang w:eastAsia="x-none"/>
        </w:rPr>
        <w:t>Agrolux</w:t>
      </w:r>
      <w:proofErr w:type="spellEnd"/>
      <w:r w:rsidR="006571C9" w:rsidRPr="006571C9">
        <w:rPr>
          <w:bCs w:val="0"/>
          <w:lang w:eastAsia="x-none"/>
        </w:rPr>
        <w:t xml:space="preserve">” Spółka z ograniczoną odpowiedzialnością, </w:t>
      </w:r>
      <w:r w:rsidR="006571C9" w:rsidRPr="006571C9">
        <w:rPr>
          <w:b/>
          <w:bCs w:val="0"/>
          <w:lang w:eastAsia="x-none"/>
        </w:rPr>
        <w:t xml:space="preserve">(dane zanonimizowane) </w:t>
      </w:r>
      <w:r w:rsidR="006571C9" w:rsidRPr="006571C9">
        <w:rPr>
          <w:bCs w:val="0"/>
          <w:lang w:eastAsia="x-none"/>
        </w:rPr>
        <w:t>Jarosław – zwaną dalej: „kontrolowaną spółką”, „przedsiębiorcą” lub „stroną”.</w:t>
      </w:r>
    </w:p>
    <w:p w14:paraId="130049E0" w14:textId="77777777" w:rsidR="006571C9" w:rsidRPr="006571C9" w:rsidRDefault="006571C9" w:rsidP="006571C9">
      <w:pPr>
        <w:spacing w:before="120" w:line="360" w:lineRule="auto"/>
        <w:rPr>
          <w:rFonts w:ascii="Arial" w:hAnsi="Arial" w:cs="Arial"/>
          <w:szCs w:val="24"/>
          <w:lang w:eastAsia="x-none"/>
        </w:rPr>
      </w:pPr>
      <w:r w:rsidRPr="006571C9">
        <w:rPr>
          <w:rFonts w:ascii="Arial" w:hAnsi="Arial" w:cs="Arial"/>
          <w:szCs w:val="24"/>
          <w:lang w:eastAsia="x-none"/>
        </w:rPr>
        <w:t xml:space="preserve">Kontrolę, zgodnie z art. 48 ust. 1 ustawy z dnia 6 marca 2018 r. Prawo przedsiębiorców (tekst jednolity: Dz. U. z 2021 r., poz. 162 z </w:t>
      </w:r>
      <w:proofErr w:type="spellStart"/>
      <w:r w:rsidRPr="006571C9">
        <w:rPr>
          <w:rFonts w:ascii="Arial" w:hAnsi="Arial" w:cs="Arial"/>
          <w:szCs w:val="24"/>
          <w:lang w:eastAsia="x-none"/>
        </w:rPr>
        <w:t>późn</w:t>
      </w:r>
      <w:proofErr w:type="spellEnd"/>
      <w:r w:rsidRPr="006571C9">
        <w:rPr>
          <w:rFonts w:ascii="Arial" w:hAnsi="Arial" w:cs="Arial"/>
          <w:szCs w:val="24"/>
          <w:lang w:eastAsia="x-none"/>
        </w:rPr>
        <w:t xml:space="preserve">. zm.) poprzedzono skierowanym do przedsiębiorcy zawiadomieniem o zamiarze wszczęcia kontroli, sygnatura DP.8360.31.2022. Odbiór zawiadomienia pokwitowany został przez Prezesa Zarządu dnia 11 maja 2022 r. </w:t>
      </w:r>
    </w:p>
    <w:p w14:paraId="0D1ED82A" w14:textId="77777777" w:rsidR="006571C9" w:rsidRPr="006571C9" w:rsidRDefault="006571C9" w:rsidP="006571C9">
      <w:pPr>
        <w:pStyle w:val="Nagwek"/>
        <w:spacing w:before="120" w:line="360" w:lineRule="auto"/>
        <w:rPr>
          <w:rFonts w:ascii="Arial" w:hAnsi="Arial" w:cs="Arial"/>
          <w:szCs w:val="24"/>
          <w:lang w:val="pl-PL"/>
        </w:rPr>
      </w:pPr>
      <w:r w:rsidRPr="006571C9">
        <w:rPr>
          <w:rFonts w:ascii="Arial" w:hAnsi="Arial" w:cs="Arial"/>
          <w:szCs w:val="24"/>
          <w:lang w:val="pl-PL"/>
        </w:rPr>
        <w:t>W trakcie kontroli sprawdzono m.in. przestrzeganie przez przedsiębiorcę obowiązku uwidaczniania cen oraz cen jednostkowych.</w:t>
      </w:r>
    </w:p>
    <w:p w14:paraId="7357892A" w14:textId="77777777" w:rsidR="006571C9" w:rsidRPr="006571C9" w:rsidRDefault="006571C9" w:rsidP="006571C9">
      <w:pPr>
        <w:pStyle w:val="Nagwek3"/>
        <w:spacing w:before="120"/>
        <w:rPr>
          <w:bCs w:val="0"/>
          <w:lang w:eastAsia="x-none"/>
        </w:rPr>
      </w:pPr>
      <w:r w:rsidRPr="006571C9">
        <w:rPr>
          <w:bCs w:val="0"/>
          <w:lang w:eastAsia="x-none"/>
        </w:rPr>
        <w:t xml:space="preserve">W dniu 1 czerwca 2022 r. inspektorzy sprawdzili prawidłowość uwidaczniania informacji w powyższym zakresie dla </w:t>
      </w:r>
      <w:r w:rsidRPr="006571C9">
        <w:rPr>
          <w:b/>
          <w:bCs w:val="0"/>
          <w:lang w:eastAsia="x-none"/>
        </w:rPr>
        <w:t>86 partii</w:t>
      </w:r>
      <w:r w:rsidRPr="006571C9">
        <w:rPr>
          <w:bCs w:val="0"/>
          <w:lang w:eastAsia="x-none"/>
        </w:rPr>
        <w:t xml:space="preserve"> produktów wybranych z oferty handlowej, stwierdzając </w:t>
      </w:r>
      <w:r w:rsidRPr="006571C9">
        <w:rPr>
          <w:b/>
          <w:bCs w:val="0"/>
          <w:lang w:eastAsia="x-none"/>
        </w:rPr>
        <w:t xml:space="preserve">nieprawidłowości w zakresie uwidaczniania informacji o cenie jednostkowej dla łącznie 18 produktów pn.: </w:t>
      </w:r>
      <w:r w:rsidRPr="006571C9">
        <w:rPr>
          <w:bCs w:val="0"/>
          <w:lang w:eastAsia="x-none"/>
        </w:rPr>
        <w:t xml:space="preserve">1. Wkład do zniczy </w:t>
      </w:r>
      <w:proofErr w:type="spellStart"/>
      <w:r w:rsidRPr="006571C9">
        <w:rPr>
          <w:bCs w:val="0"/>
          <w:lang w:eastAsia="x-none"/>
        </w:rPr>
        <w:t>Bispol</w:t>
      </w:r>
      <w:proofErr w:type="spellEnd"/>
      <w:r w:rsidRPr="006571C9">
        <w:rPr>
          <w:bCs w:val="0"/>
          <w:lang w:eastAsia="x-none"/>
        </w:rPr>
        <w:t xml:space="preserve"> 400 g; 2. Wkład do zniczy </w:t>
      </w:r>
      <w:proofErr w:type="spellStart"/>
      <w:r w:rsidRPr="006571C9">
        <w:rPr>
          <w:bCs w:val="0"/>
          <w:lang w:eastAsia="x-none"/>
        </w:rPr>
        <w:t>Bispol</w:t>
      </w:r>
      <w:proofErr w:type="spellEnd"/>
      <w:r w:rsidRPr="006571C9">
        <w:rPr>
          <w:bCs w:val="0"/>
          <w:lang w:eastAsia="x-none"/>
        </w:rPr>
        <w:t xml:space="preserve"> 470 g; 3. Wkład do zniczy </w:t>
      </w:r>
      <w:proofErr w:type="spellStart"/>
      <w:r w:rsidRPr="006571C9">
        <w:rPr>
          <w:bCs w:val="0"/>
          <w:lang w:eastAsia="x-none"/>
        </w:rPr>
        <w:t>Bispol</w:t>
      </w:r>
      <w:proofErr w:type="spellEnd"/>
      <w:r w:rsidRPr="006571C9">
        <w:rPr>
          <w:bCs w:val="0"/>
          <w:lang w:eastAsia="x-none"/>
        </w:rPr>
        <w:t xml:space="preserve"> 710 g; 4. Wkład do zniczy </w:t>
      </w:r>
      <w:proofErr w:type="spellStart"/>
      <w:r w:rsidRPr="006571C9">
        <w:rPr>
          <w:bCs w:val="0"/>
          <w:lang w:eastAsia="x-none"/>
        </w:rPr>
        <w:t>Bispol</w:t>
      </w:r>
      <w:proofErr w:type="spellEnd"/>
      <w:r w:rsidRPr="006571C9">
        <w:rPr>
          <w:bCs w:val="0"/>
          <w:lang w:eastAsia="x-none"/>
        </w:rPr>
        <w:t xml:space="preserve"> 80 g; 5. Wkład do zniczy </w:t>
      </w:r>
      <w:proofErr w:type="spellStart"/>
      <w:r w:rsidRPr="006571C9">
        <w:rPr>
          <w:bCs w:val="0"/>
          <w:lang w:eastAsia="x-none"/>
        </w:rPr>
        <w:t>Bispol</w:t>
      </w:r>
      <w:proofErr w:type="spellEnd"/>
      <w:r w:rsidRPr="006571C9">
        <w:rPr>
          <w:bCs w:val="0"/>
          <w:lang w:eastAsia="x-none"/>
        </w:rPr>
        <w:t xml:space="preserve"> 85 g; 6. Wkład do zniczy </w:t>
      </w:r>
      <w:proofErr w:type="spellStart"/>
      <w:r w:rsidRPr="006571C9">
        <w:rPr>
          <w:bCs w:val="0"/>
          <w:lang w:eastAsia="x-none"/>
        </w:rPr>
        <w:t>Bispol</w:t>
      </w:r>
      <w:proofErr w:type="spellEnd"/>
      <w:r w:rsidRPr="006571C9">
        <w:rPr>
          <w:bCs w:val="0"/>
          <w:lang w:eastAsia="x-none"/>
        </w:rPr>
        <w:t xml:space="preserve"> 600 g; 7. Wkład do zniczy </w:t>
      </w:r>
      <w:proofErr w:type="spellStart"/>
      <w:r w:rsidRPr="006571C9">
        <w:rPr>
          <w:bCs w:val="0"/>
          <w:lang w:eastAsia="x-none"/>
        </w:rPr>
        <w:t>Bispol</w:t>
      </w:r>
      <w:proofErr w:type="spellEnd"/>
      <w:r w:rsidRPr="006571C9">
        <w:rPr>
          <w:bCs w:val="0"/>
          <w:lang w:eastAsia="x-none"/>
        </w:rPr>
        <w:t xml:space="preserve"> 440 g; 8. Sznurek polipropylenowy 0,5 kg; 9. Bros świece na krety 4 x 24 g; 10. Ostrze tnące koło </w:t>
      </w:r>
      <w:proofErr w:type="spellStart"/>
      <w:r w:rsidRPr="006571C9">
        <w:rPr>
          <w:bCs w:val="0"/>
          <w:lang w:eastAsia="x-none"/>
        </w:rPr>
        <w:t>Celfast</w:t>
      </w:r>
      <w:proofErr w:type="spellEnd"/>
      <w:r w:rsidRPr="006571C9">
        <w:rPr>
          <w:bCs w:val="0"/>
          <w:lang w:eastAsia="x-none"/>
        </w:rPr>
        <w:t xml:space="preserve"> 2,4 mm x 15 m; 11. Ostrze tnące koło </w:t>
      </w:r>
      <w:proofErr w:type="spellStart"/>
      <w:r w:rsidRPr="006571C9">
        <w:rPr>
          <w:bCs w:val="0"/>
          <w:lang w:eastAsia="x-none"/>
        </w:rPr>
        <w:t>Celfast</w:t>
      </w:r>
      <w:proofErr w:type="spellEnd"/>
      <w:r w:rsidRPr="006571C9">
        <w:rPr>
          <w:bCs w:val="0"/>
          <w:lang w:eastAsia="x-none"/>
        </w:rPr>
        <w:t xml:space="preserve"> 3,0 mm x 15 m; 12. Ostrze tnące koło </w:t>
      </w:r>
      <w:proofErr w:type="spellStart"/>
      <w:r w:rsidRPr="006571C9">
        <w:rPr>
          <w:bCs w:val="0"/>
          <w:lang w:eastAsia="x-none"/>
        </w:rPr>
        <w:t>Celfast</w:t>
      </w:r>
      <w:proofErr w:type="spellEnd"/>
      <w:r w:rsidRPr="006571C9">
        <w:rPr>
          <w:bCs w:val="0"/>
          <w:lang w:eastAsia="x-none"/>
        </w:rPr>
        <w:t xml:space="preserve"> 2,0 mm x 15 m; 13. </w:t>
      </w:r>
      <w:proofErr w:type="spellStart"/>
      <w:r w:rsidRPr="006571C9">
        <w:rPr>
          <w:bCs w:val="0"/>
          <w:lang w:eastAsia="x-none"/>
        </w:rPr>
        <w:t>Biohumus</w:t>
      </w:r>
      <w:proofErr w:type="spellEnd"/>
      <w:r w:rsidRPr="006571C9">
        <w:rPr>
          <w:bCs w:val="0"/>
          <w:lang w:eastAsia="x-none"/>
        </w:rPr>
        <w:t xml:space="preserve"> kwiaty zielone 1,2 l; 14. </w:t>
      </w:r>
      <w:proofErr w:type="spellStart"/>
      <w:r w:rsidRPr="006571C9">
        <w:rPr>
          <w:bCs w:val="0"/>
          <w:lang w:eastAsia="x-none"/>
        </w:rPr>
        <w:t>Biohumus</w:t>
      </w:r>
      <w:proofErr w:type="spellEnd"/>
      <w:r w:rsidRPr="006571C9">
        <w:rPr>
          <w:bCs w:val="0"/>
          <w:lang w:eastAsia="x-none"/>
        </w:rPr>
        <w:t xml:space="preserve"> pelargonia 1,2 l; 15. </w:t>
      </w:r>
      <w:proofErr w:type="spellStart"/>
      <w:r w:rsidRPr="006571C9">
        <w:rPr>
          <w:bCs w:val="0"/>
          <w:lang w:eastAsia="x-none"/>
        </w:rPr>
        <w:t>Biohumus</w:t>
      </w:r>
      <w:proofErr w:type="spellEnd"/>
      <w:r w:rsidRPr="006571C9">
        <w:rPr>
          <w:bCs w:val="0"/>
          <w:lang w:eastAsia="x-none"/>
        </w:rPr>
        <w:t xml:space="preserve"> rośliny kwitnące 1,2 l; 16. </w:t>
      </w:r>
      <w:proofErr w:type="spellStart"/>
      <w:r w:rsidRPr="006571C9">
        <w:rPr>
          <w:bCs w:val="0"/>
          <w:lang w:eastAsia="x-none"/>
        </w:rPr>
        <w:t>Biohumus</w:t>
      </w:r>
      <w:proofErr w:type="spellEnd"/>
      <w:r w:rsidRPr="006571C9">
        <w:rPr>
          <w:bCs w:val="0"/>
          <w:lang w:eastAsia="x-none"/>
        </w:rPr>
        <w:t xml:space="preserve"> rośliny balkonowe 1,2 l; 17. Bros </w:t>
      </w:r>
      <w:proofErr w:type="spellStart"/>
      <w:r w:rsidRPr="006571C9">
        <w:rPr>
          <w:bCs w:val="0"/>
          <w:lang w:eastAsia="x-none"/>
        </w:rPr>
        <w:t>Snacol</w:t>
      </w:r>
      <w:proofErr w:type="spellEnd"/>
      <w:r w:rsidRPr="006571C9">
        <w:rPr>
          <w:bCs w:val="0"/>
          <w:lang w:eastAsia="x-none"/>
        </w:rPr>
        <w:t xml:space="preserve"> na ślimaki 250 g; 18. </w:t>
      </w:r>
      <w:proofErr w:type="spellStart"/>
      <w:r w:rsidRPr="006571C9">
        <w:rPr>
          <w:bCs w:val="0"/>
          <w:lang w:eastAsia="x-none"/>
        </w:rPr>
        <w:t>Biohumus</w:t>
      </w:r>
      <w:proofErr w:type="spellEnd"/>
      <w:r w:rsidRPr="006571C9">
        <w:rPr>
          <w:bCs w:val="0"/>
          <w:lang w:eastAsia="x-none"/>
        </w:rPr>
        <w:t xml:space="preserve"> uniwersalny 1,2 l, polegających na braku informacji o cenie jednostkowej (poz. 1-12) oraz na braku właściwie wyliczonej ceny jednostkowej (poz. 13-18), co narusza art. 4 ust. 1 ustawy z dnia 9 maja 2014 r. o informowaniu o cenach towarów i usług (tekst jednolity: Dz. U. z 2019 r., poz. 178) – zwanej dalej „ustawą” – oraz § 3 ust. 2 rozporządzenia Ministra Rozwoju z dnia 9 grudnia 2015 r. w sprawie uwidaczniania cen towarów i usług (Dz. U. z 2015 r., poz. 2121).</w:t>
      </w:r>
    </w:p>
    <w:p w14:paraId="0035FC29" w14:textId="77777777" w:rsidR="006571C9" w:rsidRPr="006571C9" w:rsidRDefault="006571C9" w:rsidP="006571C9">
      <w:pPr>
        <w:pStyle w:val="Nagwek"/>
        <w:tabs>
          <w:tab w:val="left" w:pos="708"/>
        </w:tabs>
        <w:spacing w:line="360" w:lineRule="auto"/>
        <w:rPr>
          <w:rFonts w:ascii="Arial" w:hAnsi="Arial" w:cs="Arial"/>
          <w:szCs w:val="24"/>
          <w:lang w:val="pl-PL"/>
        </w:rPr>
      </w:pPr>
      <w:r w:rsidRPr="006571C9">
        <w:rPr>
          <w:rFonts w:ascii="Arial" w:hAnsi="Arial" w:cs="Arial"/>
          <w:szCs w:val="24"/>
          <w:lang w:val="pl-PL"/>
        </w:rPr>
        <w:t>W trakcie kontroli osoba upoważniona oświadczyła, że nieprawidłowości dotyczące uwidaczniania cen wynikają z przeoczenia i niewiedzy oraz wskazano, że zostaną one niezwłocznie usunięte.</w:t>
      </w:r>
    </w:p>
    <w:p w14:paraId="32175396" w14:textId="77777777" w:rsidR="006571C9" w:rsidRPr="006571C9" w:rsidRDefault="006571C9" w:rsidP="006571C9">
      <w:pPr>
        <w:pStyle w:val="Nagwek3"/>
        <w:spacing w:before="120"/>
        <w:rPr>
          <w:bCs w:val="0"/>
          <w:lang w:eastAsia="x-none"/>
        </w:rPr>
      </w:pPr>
      <w:r w:rsidRPr="006571C9">
        <w:rPr>
          <w:bCs w:val="0"/>
          <w:lang w:eastAsia="x-none"/>
        </w:rPr>
        <w:t xml:space="preserve">Powyższe ustalenia udokumentowano w protokole kontroli DP.8361.52.2022 z dnia 1 czerwca 2022 r. wraz z załącznikami, w tym m.in. fotografiami produktów </w:t>
      </w:r>
      <w:r w:rsidRPr="006571C9">
        <w:rPr>
          <w:bCs w:val="0"/>
          <w:lang w:eastAsia="x-none"/>
        </w:rPr>
        <w:lastRenderedPageBreak/>
        <w:t>zakwestionowanych w zakresie uwidaczniania cen oraz oświadczeniem osoby upoważnionej. Uwag do protokołu nie wnoszono.</w:t>
      </w:r>
    </w:p>
    <w:p w14:paraId="43EE7F27" w14:textId="77777777" w:rsidR="006571C9" w:rsidRPr="006571C9" w:rsidRDefault="006571C9" w:rsidP="006571C9">
      <w:pPr>
        <w:pStyle w:val="Nagwek3"/>
        <w:spacing w:before="120"/>
        <w:rPr>
          <w:bCs w:val="0"/>
          <w:lang w:eastAsia="x-none"/>
        </w:rPr>
      </w:pPr>
      <w:r w:rsidRPr="006571C9">
        <w:rPr>
          <w:bCs w:val="0"/>
          <w:lang w:eastAsia="x-none"/>
        </w:rPr>
        <w:t>W związku z powyższymi ustaleniami, pismem z dnia 30 września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2F90E558" w:rsidR="00F64E33" w:rsidRPr="006571C9" w:rsidRDefault="006571C9" w:rsidP="006571C9">
      <w:pPr>
        <w:pStyle w:val="Nagwek3"/>
        <w:spacing w:before="120"/>
        <w:rPr>
          <w:bCs w:val="0"/>
        </w:rPr>
      </w:pPr>
      <w:r w:rsidRPr="006571C9">
        <w:rPr>
          <w:bCs w:val="0"/>
        </w:rPr>
        <w:t>W dniu 11 października 2022 r. do Delegatury w Przemyślu wpłynęły wyjaśnienia w sprawie z dnia 6 października 2022 r. podpisane przez Prezesa Spółki. Wskazano w nich, iż w przypadku zakwestionowanych wkładów do zniczy ceny jednostkowe były napisane na wkładach korektorem, ponieważ ceny odpadały. W odniesieniu do produktów „</w:t>
      </w:r>
      <w:proofErr w:type="spellStart"/>
      <w:r w:rsidRPr="006571C9">
        <w:rPr>
          <w:bCs w:val="0"/>
        </w:rPr>
        <w:t>Biohumus</w:t>
      </w:r>
      <w:proofErr w:type="spellEnd"/>
      <w:r w:rsidRPr="006571C9">
        <w:rPr>
          <w:bCs w:val="0"/>
        </w:rPr>
        <w:t xml:space="preserve"> 1,2 l” wskazano, że 200 ml było gratisowe, dlatego pracownica nie miała świadomości, że należy uwzględnić gratis w obliczeniu ceny jednostkowej. Brak cen jednostkowych w odniesieniu do pozostałych produktów wskazanych w zawiadomieniu spowodowany był przeoczeniem pracownika lub odklejeniem się naklejki od produktu. Poinformowano nadto, iż wskazane braki zostały w dniu kontroli uwidocznione, a firma dołoży starań aby prawidłowo uwidaczniać ceny jednostkowe. Do wyjaśnień dołączono takie dokumenty jak: „Rachunek zysków i strat” oraz „Bilans”</w:t>
      </w:r>
      <w:r w:rsidR="00F64E33" w:rsidRPr="006571C9">
        <w:rPr>
          <w:bCs w:val="0"/>
        </w:rPr>
        <w:t>.</w:t>
      </w:r>
    </w:p>
    <w:p w14:paraId="048832BA" w14:textId="1D7C2403" w:rsidR="00A96E78" w:rsidRPr="006571C9" w:rsidRDefault="00F64E33" w:rsidP="006F1881">
      <w:pPr>
        <w:pStyle w:val="Nagwek2"/>
      </w:pPr>
      <w:r w:rsidRPr="006571C9">
        <w:t>Podkarpacki Wojewódzki Inspektor Inspekcji Handlowej ustalił i stwierdził, co następuje</w:t>
      </w:r>
      <w:r w:rsidR="0051739C" w:rsidRPr="006571C9">
        <w:t>:</w:t>
      </w:r>
    </w:p>
    <w:p w14:paraId="3F8FDF0E" w14:textId="77777777" w:rsidR="006571C9" w:rsidRPr="006571C9" w:rsidRDefault="0057018B" w:rsidP="006571C9">
      <w:pPr>
        <w:pStyle w:val="Nagwek3"/>
        <w:spacing w:before="120"/>
        <w:rPr>
          <w:szCs w:val="28"/>
        </w:rPr>
      </w:pPr>
      <w:r w:rsidRPr="006571C9">
        <w:rPr>
          <w:bCs w:val="0"/>
          <w:szCs w:val="28"/>
        </w:rPr>
        <w:t xml:space="preserve">Zgodnie </w:t>
      </w:r>
      <w:r w:rsidR="006571C9" w:rsidRPr="006571C9">
        <w:rPr>
          <w:szCs w:val="28"/>
        </w:rPr>
        <w:t xml:space="preserve">z art. 6 ust. 1 ustawy karę pieniężną na przedsiębiorcę, który nie wykonuje obowiązku uwidaczniania cen w miejscu sprzedaży detalicznej nakłada wojewódzki inspektor Inspekcji Handlowej. W związku z tym, że naruszenie miało miejsce w placówce handlowej zlokalizowanej w Kańczudze (woj. podkarpackie), w której </w:t>
      </w:r>
      <w:r w:rsidR="006571C9" w:rsidRPr="006571C9">
        <w:rPr>
          <w:szCs w:val="28"/>
        </w:rPr>
        <w:lastRenderedPageBreak/>
        <w:t>prowadzona jest sprzedaż detaliczna, właściwym do prowadzenia postępowania i nałożenia kary jest Podkarpacki Wojewódzki Inspektor Inspekcji Handlowej.</w:t>
      </w:r>
    </w:p>
    <w:p w14:paraId="0D6CFF12"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298206FE"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7C53139D"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Pod pojęciem ceny ustawa rozumie wartość wyrażoną w jednostkach pieniężnych, którą kupujący jest obowiązany zapłacić przedsiębiorcy za towar lub usługę (art. 3 ust. 1 pkt 1 ustawy).</w:t>
      </w:r>
    </w:p>
    <w:p w14:paraId="1A2469F8"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0202135C"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Zgodnie z wydanym na podstawie art. 4 ust. 2 ustawy</w:t>
      </w:r>
      <w:r w:rsidRPr="006571C9">
        <w:rPr>
          <w:rFonts w:ascii="Arial" w:hAnsi="Arial" w:cs="Arial"/>
          <w:bCs/>
          <w:szCs w:val="28"/>
        </w:rPr>
        <w:t xml:space="preserve"> rozporządzeniem, a konkretnie z </w:t>
      </w:r>
      <w:r w:rsidRPr="006571C9">
        <w:rPr>
          <w:rFonts w:ascii="Arial" w:hAnsi="Arial" w:cs="Arial"/>
          <w:szCs w:val="28"/>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24AD4FBE"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Pod pojęciem wywieszki rozporządzenie rozumie etykietę, metkę, tabliczkę lub plakat; wywieszka może mieć formę wyświetlacza (§ 2 pkt 4 rozporządzenia).</w:t>
      </w:r>
    </w:p>
    <w:p w14:paraId="27D90305"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Zgodnie natomiast z § 4 ust. 1 rozporządzenia cena jednostkowa dotyczy odpowiednio ceny za:</w:t>
      </w:r>
    </w:p>
    <w:p w14:paraId="4B559CE0" w14:textId="77777777" w:rsidR="006571C9" w:rsidRPr="006571C9" w:rsidRDefault="006571C9" w:rsidP="006571C9">
      <w:pPr>
        <w:pStyle w:val="Akapitzlist"/>
        <w:numPr>
          <w:ilvl w:val="0"/>
          <w:numId w:val="30"/>
        </w:numPr>
        <w:spacing w:before="120" w:line="360" w:lineRule="auto"/>
        <w:rPr>
          <w:rFonts w:ascii="Arial" w:hAnsi="Arial" w:cs="Arial"/>
          <w:szCs w:val="28"/>
        </w:rPr>
      </w:pPr>
      <w:r w:rsidRPr="006571C9">
        <w:rPr>
          <w:rFonts w:ascii="Arial" w:hAnsi="Arial" w:cs="Arial"/>
          <w:szCs w:val="28"/>
        </w:rPr>
        <w:t>litr lub metr sześcienny – dla towaru przeznaczonego do sprzedaży według objętości;</w:t>
      </w:r>
    </w:p>
    <w:p w14:paraId="2E7010D9" w14:textId="77777777" w:rsidR="006571C9" w:rsidRPr="006571C9" w:rsidRDefault="006571C9" w:rsidP="006571C9">
      <w:pPr>
        <w:pStyle w:val="Akapitzlist"/>
        <w:numPr>
          <w:ilvl w:val="0"/>
          <w:numId w:val="30"/>
        </w:numPr>
        <w:spacing w:before="120" w:line="360" w:lineRule="auto"/>
        <w:rPr>
          <w:rFonts w:ascii="Arial" w:hAnsi="Arial" w:cs="Arial"/>
          <w:szCs w:val="28"/>
        </w:rPr>
      </w:pPr>
      <w:r w:rsidRPr="006571C9">
        <w:rPr>
          <w:rFonts w:ascii="Arial" w:hAnsi="Arial" w:cs="Arial"/>
          <w:szCs w:val="28"/>
        </w:rPr>
        <w:lastRenderedPageBreak/>
        <w:t>kilogram lub tonę – dla towaru przeznaczonego do sprzedaży według masy;</w:t>
      </w:r>
    </w:p>
    <w:p w14:paraId="1C4315A6" w14:textId="77777777" w:rsidR="006571C9" w:rsidRPr="006571C9" w:rsidRDefault="006571C9" w:rsidP="006571C9">
      <w:pPr>
        <w:pStyle w:val="Akapitzlist"/>
        <w:numPr>
          <w:ilvl w:val="0"/>
          <w:numId w:val="30"/>
        </w:numPr>
        <w:spacing w:before="120" w:line="360" w:lineRule="auto"/>
        <w:rPr>
          <w:rFonts w:ascii="Arial" w:hAnsi="Arial" w:cs="Arial"/>
          <w:szCs w:val="28"/>
        </w:rPr>
      </w:pPr>
      <w:r w:rsidRPr="006571C9">
        <w:rPr>
          <w:rFonts w:ascii="Arial" w:hAnsi="Arial" w:cs="Arial"/>
          <w:szCs w:val="28"/>
        </w:rPr>
        <w:t>metr – dla towaru przeznaczonego do sprzedaży według długości;</w:t>
      </w:r>
    </w:p>
    <w:p w14:paraId="54A2395A" w14:textId="77777777" w:rsidR="006571C9" w:rsidRPr="006571C9" w:rsidRDefault="006571C9" w:rsidP="006571C9">
      <w:pPr>
        <w:pStyle w:val="Akapitzlist"/>
        <w:numPr>
          <w:ilvl w:val="0"/>
          <w:numId w:val="30"/>
        </w:numPr>
        <w:spacing w:before="120" w:line="360" w:lineRule="auto"/>
        <w:rPr>
          <w:rFonts w:ascii="Arial" w:hAnsi="Arial" w:cs="Arial"/>
          <w:szCs w:val="28"/>
        </w:rPr>
      </w:pPr>
      <w:r w:rsidRPr="006571C9">
        <w:rPr>
          <w:rFonts w:ascii="Arial" w:hAnsi="Arial" w:cs="Arial"/>
          <w:szCs w:val="28"/>
        </w:rPr>
        <w:t>metr kwadratowy – dla towaru przeznaczonego do sprzedaży według powierzchni;</w:t>
      </w:r>
    </w:p>
    <w:p w14:paraId="6E7F0670" w14:textId="77777777" w:rsidR="006571C9" w:rsidRPr="006571C9" w:rsidRDefault="006571C9" w:rsidP="006571C9">
      <w:pPr>
        <w:pStyle w:val="Akapitzlist"/>
        <w:numPr>
          <w:ilvl w:val="0"/>
          <w:numId w:val="30"/>
        </w:numPr>
        <w:spacing w:before="120" w:line="360" w:lineRule="auto"/>
        <w:rPr>
          <w:rFonts w:ascii="Arial" w:hAnsi="Arial" w:cs="Arial"/>
          <w:szCs w:val="28"/>
        </w:rPr>
      </w:pPr>
      <w:r w:rsidRPr="006571C9">
        <w:rPr>
          <w:rFonts w:ascii="Arial" w:hAnsi="Arial" w:cs="Arial"/>
          <w:szCs w:val="28"/>
        </w:rPr>
        <w:t>sztukę – dla towarów przeznaczonych do sprzedaży na sztuki.</w:t>
      </w:r>
    </w:p>
    <w:p w14:paraId="1A26E13D"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09BA006"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W przypadku towaru pakowanego oznaczonego liczbą sztuk dopuszcza się stosowanie przeliczenia na cenę jednostkową za sztukę lub za dziesiętną wielokrotność liczby sztuk (§ 4 ust. 3 rozporządzenia).</w:t>
      </w:r>
    </w:p>
    <w:p w14:paraId="4D56EF3B" w14:textId="17D31B74" w:rsidR="006571C9" w:rsidRPr="006571C9" w:rsidRDefault="006571C9" w:rsidP="006571C9">
      <w:pPr>
        <w:spacing w:before="120" w:line="360" w:lineRule="auto"/>
        <w:rPr>
          <w:rFonts w:ascii="Arial" w:hAnsi="Arial" w:cs="Arial"/>
          <w:szCs w:val="28"/>
        </w:rPr>
      </w:pPr>
      <w:r w:rsidRPr="006571C9">
        <w:rPr>
          <w:rFonts w:ascii="Arial" w:hAnsi="Arial" w:cs="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6571C9">
        <w:rPr>
          <w:rFonts w:ascii="Arial" w:hAnsi="Arial"/>
          <w:szCs w:val="28"/>
        </w:rPr>
        <w:t xml:space="preserve"> </w:t>
      </w:r>
      <w:r w:rsidRPr="006571C9">
        <w:rPr>
          <w:rFonts w:ascii="Arial" w:hAnsi="Arial" w:cs="Arial"/>
          <w:szCs w:val="28"/>
        </w:rPr>
        <w:t>w ww. przepisach, choćby naruszenie prawa miało charakter jednostkowy. Dowiedzenie,</w:t>
      </w:r>
      <w:r w:rsidRPr="006571C9">
        <w:rPr>
          <w:rFonts w:ascii="Arial" w:hAnsi="Arial"/>
          <w:szCs w:val="28"/>
        </w:rPr>
        <w:t xml:space="preserve"> </w:t>
      </w:r>
      <w:r w:rsidRPr="006571C9">
        <w:rPr>
          <w:rFonts w:ascii="Arial" w:hAnsi="Arial" w:cs="Arial"/>
          <w:szCs w:val="28"/>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1B24773D" w14:textId="77777777" w:rsidR="006571C9" w:rsidRPr="006571C9" w:rsidRDefault="006571C9" w:rsidP="006571C9">
      <w:pPr>
        <w:pStyle w:val="Nagwek3"/>
        <w:spacing w:before="120"/>
        <w:rPr>
          <w:szCs w:val="28"/>
        </w:rPr>
      </w:pPr>
      <w:r w:rsidRPr="006571C9">
        <w:rPr>
          <w:szCs w:val="28"/>
        </w:rPr>
        <w:t>W powyższej sprawie, w wyniku kontroli przeprowadzonej w dniach 1 i 3 czerwca 2022 r. w miejscu sprzedaży detalicznej tj. placówce zlokalizowanej przy ul. Rynek 13 w Kańczudze, należącej do: Zakład Usługowo-Handlowy „</w:t>
      </w:r>
      <w:proofErr w:type="spellStart"/>
      <w:r w:rsidRPr="006571C9">
        <w:rPr>
          <w:szCs w:val="28"/>
        </w:rPr>
        <w:t>Agrolux</w:t>
      </w:r>
      <w:proofErr w:type="spellEnd"/>
      <w:r w:rsidRPr="006571C9">
        <w:rPr>
          <w:szCs w:val="28"/>
        </w:rPr>
        <w:t xml:space="preserve">” Spółka z ograniczoną odpowiedzialnością, </w:t>
      </w:r>
      <w:r w:rsidRPr="006571C9">
        <w:rPr>
          <w:b/>
          <w:szCs w:val="28"/>
        </w:rPr>
        <w:t>(dane zanonimizowane)</w:t>
      </w:r>
      <w:r w:rsidRPr="006571C9">
        <w:rPr>
          <w:szCs w:val="28"/>
        </w:rPr>
        <w:t xml:space="preserve"> Jarosław ustalono, iż nie dopełniono wynikającego z art. 4 ust. 1 ustawy obowiązku tj. nie uwidoczniono cen </w:t>
      </w:r>
      <w:r w:rsidRPr="006571C9">
        <w:rPr>
          <w:szCs w:val="28"/>
        </w:rPr>
        <w:lastRenderedPageBreak/>
        <w:t xml:space="preserve">jednostkowych w sposób jednoznaczny, niebudzący wątpliwości oraz umożliwiający ich porównanie. </w:t>
      </w:r>
    </w:p>
    <w:p w14:paraId="60FF199A"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Przy osiemnastu produktach stwierdzono nieprawidłowości w zakresie uwidaczniania informacji o cenie jednostkowej polegające na braku informacji o cenie jednostkowej oraz na braku właściwie wyliczonej ceny jednostkowej. </w:t>
      </w:r>
    </w:p>
    <w:p w14:paraId="35861CDC" w14:textId="77777777" w:rsidR="006571C9" w:rsidRPr="006571C9" w:rsidRDefault="006571C9" w:rsidP="006571C9">
      <w:pPr>
        <w:spacing w:before="120" w:line="360" w:lineRule="auto"/>
        <w:rPr>
          <w:rFonts w:ascii="Arial" w:hAnsi="Arial" w:cs="Arial"/>
          <w:b/>
          <w:szCs w:val="28"/>
        </w:rPr>
      </w:pPr>
      <w:r w:rsidRPr="006571C9">
        <w:rPr>
          <w:rFonts w:ascii="Arial" w:hAnsi="Arial" w:cs="Arial"/>
          <w:szCs w:val="28"/>
        </w:rPr>
        <w:t xml:space="preserve">W związku z powyższym spełnione zostały przesłanki do nałożenia przez Podkarpackiego Wojewódzkiego Inspektora Inspekcji Handlowej na kontrolowaną spółkę kary pieniężnej przewidzianej w art. 6 ust. 1 ustawy w wysokości </w:t>
      </w:r>
      <w:r w:rsidRPr="006571C9">
        <w:rPr>
          <w:rFonts w:ascii="Arial" w:hAnsi="Arial" w:cs="Arial"/>
          <w:b/>
          <w:szCs w:val="28"/>
        </w:rPr>
        <w:t xml:space="preserve">400 zł. </w:t>
      </w:r>
    </w:p>
    <w:p w14:paraId="750DFDAF"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Wymierzając ją PWIIH wziął pod uwagę, zgodnie z art. 6 ust. 3 ustawy:</w:t>
      </w:r>
    </w:p>
    <w:p w14:paraId="34CA13A4" w14:textId="23D910CD" w:rsidR="006571C9" w:rsidRPr="006571C9" w:rsidRDefault="006571C9" w:rsidP="006571C9">
      <w:pPr>
        <w:pStyle w:val="Akapitzlist"/>
        <w:numPr>
          <w:ilvl w:val="0"/>
          <w:numId w:val="31"/>
        </w:numPr>
        <w:spacing w:before="120" w:line="360" w:lineRule="auto"/>
        <w:rPr>
          <w:rFonts w:ascii="Arial" w:hAnsi="Arial" w:cs="Arial"/>
          <w:szCs w:val="28"/>
        </w:rPr>
      </w:pPr>
      <w:r w:rsidRPr="006571C9">
        <w:rPr>
          <w:rFonts w:ascii="Arial" w:hAnsi="Arial" w:cs="Arial"/>
          <w:b/>
          <w:szCs w:val="28"/>
        </w:rPr>
        <w:t>stopień naruszenia</w:t>
      </w:r>
      <w:r w:rsidRPr="006571C9">
        <w:rPr>
          <w:rFonts w:ascii="Arial" w:hAnsi="Arial" w:cs="Arial"/>
          <w:szCs w:val="28"/>
        </w:rPr>
        <w:t xml:space="preserve"> obowiązków – w toku kontroli sprawdzono informacje</w:t>
      </w:r>
      <w:r w:rsidRPr="006571C9">
        <w:rPr>
          <w:rFonts w:ascii="Arial" w:hAnsi="Arial"/>
          <w:szCs w:val="28"/>
        </w:rPr>
        <w:t xml:space="preserve"> </w:t>
      </w:r>
      <w:r w:rsidRPr="006571C9">
        <w:rPr>
          <w:rFonts w:ascii="Arial" w:hAnsi="Arial" w:cs="Arial"/>
          <w:szCs w:val="28"/>
        </w:rPr>
        <w:t xml:space="preserve">przy </w:t>
      </w:r>
      <w:r w:rsidRPr="006571C9">
        <w:rPr>
          <w:rFonts w:ascii="Arial" w:hAnsi="Arial" w:cs="Arial"/>
          <w:b/>
          <w:szCs w:val="28"/>
        </w:rPr>
        <w:t>86</w:t>
      </w:r>
      <w:r w:rsidRPr="006571C9">
        <w:rPr>
          <w:rFonts w:ascii="Arial" w:hAnsi="Arial" w:cs="Arial"/>
          <w:szCs w:val="28"/>
        </w:rPr>
        <w:t xml:space="preserve"> asortymentach towarów, stwierdzając przy </w:t>
      </w:r>
      <w:r w:rsidRPr="006571C9">
        <w:rPr>
          <w:rFonts w:ascii="Arial" w:hAnsi="Arial" w:cs="Arial"/>
          <w:b/>
          <w:szCs w:val="28"/>
        </w:rPr>
        <w:t>18</w:t>
      </w:r>
      <w:r w:rsidRPr="006571C9">
        <w:rPr>
          <w:rFonts w:ascii="Arial" w:hAnsi="Arial" w:cs="Arial"/>
          <w:szCs w:val="28"/>
        </w:rPr>
        <w:t xml:space="preserve"> partiach nieprawidłowości dające podstawę do wszczęcia postępowania w sprawie wymierzenia kary, tj. w przypadku niespełna</w:t>
      </w:r>
      <w:r w:rsidRPr="006571C9">
        <w:rPr>
          <w:rFonts w:ascii="Arial" w:hAnsi="Arial" w:cs="Arial"/>
          <w:bCs/>
          <w:szCs w:val="28"/>
        </w:rPr>
        <w:t xml:space="preserve"> </w:t>
      </w:r>
      <w:r w:rsidRPr="006571C9">
        <w:rPr>
          <w:rFonts w:ascii="Arial" w:hAnsi="Arial" w:cs="Arial"/>
          <w:b/>
          <w:bCs/>
          <w:szCs w:val="28"/>
        </w:rPr>
        <w:t xml:space="preserve">21 </w:t>
      </w:r>
      <w:r w:rsidRPr="006571C9">
        <w:rPr>
          <w:rFonts w:ascii="Arial" w:hAnsi="Arial" w:cs="Arial"/>
          <w:b/>
          <w:szCs w:val="28"/>
        </w:rPr>
        <w:t>%</w:t>
      </w:r>
      <w:r w:rsidRPr="006571C9">
        <w:rPr>
          <w:rFonts w:ascii="Arial" w:hAnsi="Arial" w:cs="Arial"/>
          <w:szCs w:val="28"/>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4760582A" w14:textId="77777777" w:rsidR="006571C9" w:rsidRPr="006571C9" w:rsidRDefault="006571C9" w:rsidP="006571C9">
      <w:pPr>
        <w:pStyle w:val="Akapitzlist"/>
        <w:numPr>
          <w:ilvl w:val="0"/>
          <w:numId w:val="31"/>
        </w:numPr>
        <w:spacing w:before="120" w:line="360" w:lineRule="auto"/>
        <w:rPr>
          <w:rFonts w:ascii="Arial" w:hAnsi="Arial" w:cs="Arial"/>
          <w:szCs w:val="28"/>
        </w:rPr>
      </w:pPr>
      <w:r w:rsidRPr="006571C9">
        <w:rPr>
          <w:rFonts w:ascii="Arial" w:hAnsi="Arial" w:cs="Arial"/>
          <w:b/>
          <w:bCs/>
          <w:szCs w:val="28"/>
        </w:rPr>
        <w:t>dotychczasową działalność przedsiębiorcy</w:t>
      </w:r>
      <w:r w:rsidRPr="006571C9">
        <w:rPr>
          <w:rFonts w:ascii="Arial" w:hAnsi="Arial" w:cs="Arial"/>
          <w:szCs w:val="28"/>
        </w:rPr>
        <w:t xml:space="preserve"> – fakt, że jest to </w:t>
      </w:r>
      <w:r w:rsidRPr="006571C9">
        <w:rPr>
          <w:rFonts w:ascii="Arial" w:hAnsi="Arial" w:cs="Arial"/>
          <w:b/>
          <w:szCs w:val="28"/>
        </w:rPr>
        <w:t>pierwsze naruszenie</w:t>
      </w:r>
      <w:r w:rsidRPr="006571C9">
        <w:rPr>
          <w:rFonts w:ascii="Arial" w:hAnsi="Arial" w:cs="Arial"/>
          <w:szCs w:val="28"/>
        </w:rPr>
        <w:t xml:space="preserve"> przez przedsiębiorcę przepisów w zakresie uwidaczniania cen odnotowane przez Podkarpackiego Wojewódzkiego Inspektora Inspekcji Handlowej;</w:t>
      </w:r>
    </w:p>
    <w:p w14:paraId="56231813" w14:textId="77777777" w:rsidR="006571C9" w:rsidRPr="006571C9" w:rsidRDefault="006571C9" w:rsidP="006571C9">
      <w:pPr>
        <w:pStyle w:val="Akapitzlist"/>
        <w:numPr>
          <w:ilvl w:val="0"/>
          <w:numId w:val="31"/>
        </w:numPr>
        <w:spacing w:before="120" w:line="360" w:lineRule="auto"/>
        <w:rPr>
          <w:rFonts w:ascii="Arial" w:hAnsi="Arial" w:cs="Arial"/>
          <w:szCs w:val="28"/>
        </w:rPr>
      </w:pPr>
      <w:r w:rsidRPr="006571C9">
        <w:rPr>
          <w:rFonts w:ascii="Arial" w:hAnsi="Arial" w:cs="Arial"/>
          <w:b/>
          <w:szCs w:val="28"/>
        </w:rPr>
        <w:t>wielkość obrotów i przychodu</w:t>
      </w:r>
      <w:r w:rsidRPr="006571C9">
        <w:rPr>
          <w:rFonts w:ascii="Arial" w:hAnsi="Arial" w:cs="Arial"/>
          <w:szCs w:val="28"/>
        </w:rPr>
        <w:t xml:space="preserve"> przedsiębiorcy w roku 2021.</w:t>
      </w:r>
    </w:p>
    <w:p w14:paraId="1B5F826C" w14:textId="29DC90DD"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Biorąc pod uwagę wymienione kryteria, nałożenie kary pieniężnej w kwocie </w:t>
      </w:r>
      <w:r w:rsidRPr="006571C9">
        <w:rPr>
          <w:rFonts w:ascii="Arial" w:hAnsi="Arial" w:cs="Arial"/>
          <w:b/>
          <w:szCs w:val="28"/>
        </w:rPr>
        <w:t>400 zł</w:t>
      </w:r>
      <w:r w:rsidRPr="006571C9">
        <w:rPr>
          <w:rFonts w:ascii="Arial" w:hAnsi="Arial"/>
          <w:b/>
          <w:szCs w:val="28"/>
        </w:rPr>
        <w:t xml:space="preserve"> </w:t>
      </w:r>
      <w:r w:rsidRPr="006571C9">
        <w:rPr>
          <w:rFonts w:ascii="Arial" w:hAnsi="Arial" w:cs="Arial"/>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6571C9">
        <w:rPr>
          <w:rFonts w:ascii="Arial" w:hAnsi="Arial"/>
          <w:szCs w:val="28"/>
        </w:rPr>
        <w:t xml:space="preserve"> </w:t>
      </w:r>
      <w:r w:rsidRPr="006571C9">
        <w:rPr>
          <w:rFonts w:ascii="Arial" w:hAnsi="Arial" w:cs="Arial"/>
          <w:szCs w:val="28"/>
        </w:rPr>
        <w:t>w art. 8 dyrektywy 98/6 WE Parlamentu Europejskiego i Rady z dnia 16 lutego 1998 r.</w:t>
      </w:r>
      <w:r w:rsidRPr="006571C9">
        <w:rPr>
          <w:rFonts w:ascii="Arial" w:hAnsi="Arial"/>
          <w:szCs w:val="28"/>
        </w:rPr>
        <w:t xml:space="preserve"> </w:t>
      </w:r>
      <w:r w:rsidRPr="006571C9">
        <w:rPr>
          <w:rFonts w:ascii="Arial" w:hAnsi="Arial" w:cs="Arial"/>
          <w:szCs w:val="28"/>
        </w:rPr>
        <w:t>w sprawie ochrony konsumenta przez podawanie cen produktów oferowanych konsumentom (Dz. Urz. WE L 80 z 18.3.1998 r., s. 27), czyli jest skuteczna, proporcjonalna i odstraszająca.</w:t>
      </w:r>
    </w:p>
    <w:p w14:paraId="3A1B23D4" w14:textId="6CF8C002"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Organ uznał, że strona postępowania miała możliwość zapobieżenia powstałym nieprawidłowościom poprzez chociażby stały nadzór nad prawidłowością stosowania </w:t>
      </w:r>
      <w:r w:rsidRPr="006571C9">
        <w:rPr>
          <w:rFonts w:ascii="Arial" w:hAnsi="Arial" w:cs="Arial"/>
          <w:szCs w:val="28"/>
        </w:rPr>
        <w:lastRenderedPageBreak/>
        <w:t>przepisów w prowadzonej placówce. Przypomnieć należy, że kontrola, podczas której wykazano nieprawidłowości poprzedzona została prawidłowo doręczonym zawiadomieniem</w:t>
      </w:r>
      <w:r w:rsidRPr="006571C9">
        <w:rPr>
          <w:rFonts w:ascii="Arial" w:hAnsi="Arial"/>
          <w:szCs w:val="28"/>
        </w:rPr>
        <w:t xml:space="preserve"> </w:t>
      </w:r>
      <w:r w:rsidRPr="006571C9">
        <w:rPr>
          <w:rFonts w:ascii="Arial" w:hAnsi="Arial" w:cs="Arial"/>
          <w:szCs w:val="28"/>
        </w:rPr>
        <w:t>o zamiarze wszczęcia kontroli. Od czasu doręczenia zawiadomienia do wszczęcia kontroli minęło 20 dni. Stwierdzić zatem należy, iż był to dostateczny i wystarczający czas na odpowiednie przygotowanie się do kontroli, m.in. na sprawdzenie i zweryfikowanie prawidłowości umieszczanych informacji w zakresie cen i cen jednostkowych.</w:t>
      </w:r>
    </w:p>
    <w:p w14:paraId="3E3A5781"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Ponadto w odniesieniu do oświadczenia złożonego przez osobę upoważnioną w trakcie kontroli,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i niewiedza,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placówce mieszczącej się przy ul. </w:t>
      </w:r>
      <w:r w:rsidRPr="006571C9">
        <w:rPr>
          <w:rFonts w:ascii="Arial" w:hAnsi="Arial" w:cs="Arial"/>
          <w:b/>
          <w:szCs w:val="28"/>
        </w:rPr>
        <w:t xml:space="preserve">(dane zanonimizowane) </w:t>
      </w:r>
      <w:r w:rsidRPr="006571C9">
        <w:rPr>
          <w:rFonts w:ascii="Arial" w:hAnsi="Arial" w:cs="Arial"/>
          <w:szCs w:val="28"/>
        </w:rPr>
        <w:t>w Kańczudze nieprawidłowości w uwidacznianiu cen jednostkowych stanowiło podstawę do wszczęcia postępowania administracyjnego w celu nałożenia w oparciu o art. 6 ust. 1 ustawy administracyjnej kary pieniężnej oraz jej nałożenia przez organ Inspekcji Handlowej.</w:t>
      </w:r>
    </w:p>
    <w:p w14:paraId="5F3BC162"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Z kolei usunięcie nieprawidłowości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 Tym samym stwierdzić można, że gdyby nie działania kontrolne organu, przedsiębiorca mógłby w dalszym ciągu błędnie informować swoich konsumentów o cenach jednostkowych towarów. Niewątpliwie, podstawowym prawem konsumentów jest prawo do rzetelnego i jasnego poinformowania o cenach danych towarów czy też usług. </w:t>
      </w:r>
    </w:p>
    <w:p w14:paraId="1276BE6C"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Podkarpacki Wojewódzki Inspektor Inspekcji Handlowej stwierdził i uznał, iż cena jest jednym z najistotniejszych czynników mających wpływ na podjęcie decyzji o zakupie </w:t>
      </w:r>
      <w:r w:rsidRPr="006571C9">
        <w:rPr>
          <w:rFonts w:ascii="Arial" w:hAnsi="Arial" w:cs="Arial"/>
          <w:szCs w:val="28"/>
        </w:rPr>
        <w:lastRenderedPageBreak/>
        <w:t xml:space="preserve">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w:t>
      </w:r>
    </w:p>
    <w:p w14:paraId="7073E556"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2932059C" w14:textId="77777777" w:rsidR="006571C9" w:rsidRPr="006571C9" w:rsidRDefault="006571C9" w:rsidP="006571C9">
      <w:pPr>
        <w:spacing w:before="120" w:line="360" w:lineRule="auto"/>
        <w:rPr>
          <w:rFonts w:ascii="Arial" w:hAnsi="Arial" w:cs="Arial"/>
          <w:szCs w:val="28"/>
        </w:rPr>
      </w:pPr>
      <w:r w:rsidRPr="006571C9">
        <w:rPr>
          <w:rFonts w:ascii="Arial" w:hAnsi="Arial" w:cs="Arial"/>
          <w:szCs w:val="28"/>
        </w:rPr>
        <w:t xml:space="preserve">W odniesieniu do pisma przedsiębiorcy z dnia 6 października 2022 r., którego wpływ do Delegatury w Przemyślu odnotowano dnia 11 października 2022 r. wskazać należy, iż załącznikiem do protokołu kontroli są fotografie zakwestionowanych produktów, na których nie można zauważyć informacji dotyczącej ceny jednostkowej. Zgodnie z przytoczonym wcześniej art. 3 ust. 1 pkt 2 ustawy cena jednostkowa towaru (usługi) to cena ustalona za jednostkę określonego towaru (usługi), którego ilość lub liczba jest wyrażona w jednostkach miar w rozumieniu przepisów o miarach. Produkty takie jak wkłady do zniczy posiadały różne gramatury, a uwidocznione na poszczególnych produktach bądź foliowych zgrzewkach informacje zapisane czarnym flamastrem/markerem dotyczyły ceny, nie zaś ceny jednostkowej. Nie można zatem zgodzić się z informacją wskazaną w piśmie, jakoby ceny jednostkowe napisane były na wkładach korektorem. Powyższe nie znajduje potwierdzenia w zgromadzonej w sprawie dokumentacji fotograficznej. Odnośnie wyliczenia ceny jednostkowej produktu z tzw. "gratisem", ma ona dotyczyć całkowitej ilości towaru znajdującej się w opakowaniu, łącznie z częścią „gratisową”. Taki sposób przeliczania ceny jednostkowej ułatwi konsumentom dokonanie najlepszego z ich punktu widzenia wyboru towaru. </w:t>
      </w:r>
    </w:p>
    <w:p w14:paraId="7F0E04C4" w14:textId="77777777" w:rsidR="006571C9" w:rsidRPr="006571C9" w:rsidRDefault="006571C9" w:rsidP="006571C9">
      <w:pPr>
        <w:pStyle w:val="Nagwek3"/>
        <w:spacing w:before="120"/>
        <w:rPr>
          <w:szCs w:val="28"/>
        </w:rPr>
      </w:pPr>
      <w:r w:rsidRPr="006571C9">
        <w:rPr>
          <w:szCs w:val="28"/>
        </w:rPr>
        <w:t>Wskazać należy, że tutejszy organ Inspekcji, analizując cały materiał dowodowy nie znalazł podstaw do odstąpienia od wymierzenia administracyjnej kary pieniężnej.</w:t>
      </w:r>
    </w:p>
    <w:p w14:paraId="57D9BDE6" w14:textId="3357FCFF" w:rsidR="006571C9" w:rsidRPr="006571C9" w:rsidRDefault="006571C9" w:rsidP="006301C0">
      <w:pPr>
        <w:spacing w:before="120" w:line="360" w:lineRule="auto"/>
        <w:rPr>
          <w:rFonts w:ascii="Arial" w:hAnsi="Arial" w:cs="Arial"/>
          <w:szCs w:val="28"/>
        </w:rPr>
      </w:pPr>
      <w:r w:rsidRPr="006571C9">
        <w:rPr>
          <w:rFonts w:ascii="Arial" w:hAnsi="Arial" w:cs="Arial"/>
          <w:szCs w:val="28"/>
        </w:rPr>
        <w:t xml:space="preserve">Zgodnie z art. 189e kpa, w przypadku, gdy do naruszenia prawa doszło wskutek działania siły wyższej, strona nie podlega ukaraniu. Pojęcie to wprawdzie nie zostało zdefiniowane w przepisach kpa, niemniej – zgodnie z poglądami wyrażanymi na </w:t>
      </w:r>
      <w:r w:rsidRPr="006571C9">
        <w:rPr>
          <w:rFonts w:ascii="Arial" w:hAnsi="Arial" w:cs="Arial"/>
          <w:szCs w:val="28"/>
        </w:rPr>
        <w:lastRenderedPageBreak/>
        <w:t xml:space="preserve">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6571C9">
        <w:rPr>
          <w:rFonts w:ascii="Arial" w:hAnsi="Arial" w:cs="Arial"/>
          <w:szCs w:val="28"/>
        </w:rPr>
        <w:t>MoP</w:t>
      </w:r>
      <w:proofErr w:type="spellEnd"/>
      <w:r w:rsidRPr="006571C9">
        <w:rPr>
          <w:rFonts w:ascii="Arial" w:hAnsi="Arial" w:cs="Arial"/>
          <w:szCs w:val="28"/>
        </w:rPr>
        <w:t xml:space="preserve"> 2005, Nr 6). „Siłę wyższą odróżnia od zwykłego przypadku (casus) to, że jest to zdarzenie nadzwyczajne, zewnętrzne i niemożliwe do zapobieżenia (vis </w:t>
      </w:r>
      <w:proofErr w:type="spellStart"/>
      <w:r w:rsidRPr="006571C9">
        <w:rPr>
          <w:rFonts w:ascii="Arial" w:hAnsi="Arial" w:cs="Arial"/>
          <w:szCs w:val="28"/>
        </w:rPr>
        <w:t>cui</w:t>
      </w:r>
      <w:proofErr w:type="spellEnd"/>
      <w:r w:rsidRPr="006571C9">
        <w:rPr>
          <w:rFonts w:ascii="Arial" w:hAnsi="Arial" w:cs="Arial"/>
          <w:szCs w:val="28"/>
        </w:rPr>
        <w:t xml:space="preserve"> </w:t>
      </w:r>
      <w:proofErr w:type="spellStart"/>
      <w:r w:rsidRPr="006571C9">
        <w:rPr>
          <w:rFonts w:ascii="Arial" w:hAnsi="Arial" w:cs="Arial"/>
          <w:szCs w:val="28"/>
        </w:rPr>
        <w:t>humana</w:t>
      </w:r>
      <w:proofErr w:type="spellEnd"/>
      <w:r w:rsidRPr="006571C9">
        <w:rPr>
          <w:rFonts w:ascii="Arial" w:hAnsi="Arial" w:cs="Arial"/>
          <w:szCs w:val="28"/>
        </w:rPr>
        <w:t xml:space="preserve"> </w:t>
      </w:r>
      <w:proofErr w:type="spellStart"/>
      <w:r w:rsidRPr="006571C9">
        <w:rPr>
          <w:rFonts w:ascii="Arial" w:hAnsi="Arial" w:cs="Arial"/>
          <w:szCs w:val="28"/>
        </w:rPr>
        <w:t>infirmitas</w:t>
      </w:r>
      <w:proofErr w:type="spellEnd"/>
      <w:r w:rsidRPr="006571C9">
        <w:rPr>
          <w:rFonts w:ascii="Arial" w:hAnsi="Arial" w:cs="Arial"/>
          <w:szCs w:val="28"/>
        </w:rPr>
        <w:t xml:space="preserve"> </w:t>
      </w:r>
      <w:proofErr w:type="spellStart"/>
      <w:r w:rsidRPr="006571C9">
        <w:rPr>
          <w:rFonts w:ascii="Arial" w:hAnsi="Arial" w:cs="Arial"/>
          <w:szCs w:val="28"/>
        </w:rPr>
        <w:t>resistere</w:t>
      </w:r>
      <w:proofErr w:type="spellEnd"/>
      <w:r w:rsidRPr="006571C9">
        <w:rPr>
          <w:rFonts w:ascii="Arial" w:hAnsi="Arial" w:cs="Arial"/>
          <w:szCs w:val="28"/>
        </w:rPr>
        <w:t xml:space="preserve"> non </w:t>
      </w:r>
      <w:proofErr w:type="spellStart"/>
      <w:r w:rsidRPr="006571C9">
        <w:rPr>
          <w:rFonts w:ascii="Arial" w:hAnsi="Arial" w:cs="Arial"/>
          <w:szCs w:val="28"/>
        </w:rPr>
        <w:t>potest</w:t>
      </w:r>
      <w:proofErr w:type="spellEnd"/>
      <w:r w:rsidRPr="006571C9">
        <w:rPr>
          <w:rFonts w:ascii="Arial" w:hAnsi="Arial" w:cs="Arial"/>
          <w:szCs w:val="28"/>
        </w:rPr>
        <w:t>). Należą</w:t>
      </w:r>
      <w:r w:rsidRPr="006301C0">
        <w:rPr>
          <w:rFonts w:ascii="Arial" w:hAnsi="Arial"/>
          <w:szCs w:val="28"/>
        </w:rPr>
        <w:t xml:space="preserve"> </w:t>
      </w:r>
      <w:r w:rsidRPr="006571C9">
        <w:rPr>
          <w:rFonts w:ascii="Arial" w:hAnsi="Arial" w:cs="Arial"/>
          <w:szCs w:val="28"/>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6571C9">
        <w:rPr>
          <w:rFonts w:ascii="Arial" w:hAnsi="Arial" w:cs="Arial"/>
          <w:szCs w:val="28"/>
        </w:rPr>
        <w:t>Kidyba</w:t>
      </w:r>
      <w:proofErr w:type="spellEnd"/>
      <w:r w:rsidRPr="006571C9">
        <w:rPr>
          <w:rFonts w:ascii="Arial" w:hAnsi="Arial" w:cs="Arial"/>
          <w:szCs w:val="28"/>
        </w:rPr>
        <w:t>: Kodeks cywilny. Komentarz. T. 3. Zobowiązania – część ogólna. Warszawa 2016, art. 124). W ocenie tutejszego organu Inspekcji, na gruncie sprawy</w:t>
      </w:r>
      <w:r w:rsidRPr="006301C0">
        <w:rPr>
          <w:rFonts w:ascii="Arial" w:hAnsi="Arial"/>
          <w:szCs w:val="28"/>
        </w:rPr>
        <w:t xml:space="preserve"> </w:t>
      </w:r>
      <w:r w:rsidRPr="006571C9">
        <w:rPr>
          <w:rFonts w:ascii="Arial" w:hAnsi="Arial" w:cs="Arial"/>
          <w:szCs w:val="28"/>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57571392" w14:textId="77777777" w:rsidR="006571C9" w:rsidRPr="006571C9" w:rsidRDefault="006571C9" w:rsidP="006301C0">
      <w:pPr>
        <w:spacing w:before="120" w:line="360" w:lineRule="auto"/>
        <w:rPr>
          <w:rFonts w:ascii="Arial" w:hAnsi="Arial" w:cs="Arial"/>
          <w:szCs w:val="28"/>
        </w:rPr>
      </w:pPr>
      <w:r w:rsidRPr="006571C9">
        <w:rPr>
          <w:rFonts w:ascii="Arial" w:hAnsi="Arial" w:cs="Arial"/>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2969AE9" w14:textId="77777777" w:rsidR="006571C9" w:rsidRPr="006301C0" w:rsidRDefault="006571C9" w:rsidP="006301C0">
      <w:pPr>
        <w:pStyle w:val="Akapitzlist"/>
        <w:numPr>
          <w:ilvl w:val="0"/>
          <w:numId w:val="32"/>
        </w:numPr>
        <w:spacing w:before="120" w:line="360" w:lineRule="auto"/>
        <w:rPr>
          <w:rFonts w:ascii="Arial" w:hAnsi="Arial" w:cs="Arial"/>
          <w:szCs w:val="28"/>
        </w:rPr>
      </w:pPr>
      <w:r w:rsidRPr="006301C0">
        <w:rPr>
          <w:rFonts w:ascii="Arial" w:hAnsi="Arial" w:cs="Arial"/>
          <w:szCs w:val="28"/>
        </w:rPr>
        <w:t>waga naruszenia prawa jest znikoma, a strona zaprzestała naruszania prawa lub</w:t>
      </w:r>
    </w:p>
    <w:p w14:paraId="26C1B270" w14:textId="77777777" w:rsidR="006571C9" w:rsidRPr="006301C0" w:rsidRDefault="006571C9" w:rsidP="006301C0">
      <w:pPr>
        <w:pStyle w:val="Akapitzlist"/>
        <w:numPr>
          <w:ilvl w:val="0"/>
          <w:numId w:val="32"/>
        </w:numPr>
        <w:spacing w:before="120" w:line="360" w:lineRule="auto"/>
        <w:rPr>
          <w:rFonts w:ascii="Arial" w:hAnsi="Arial" w:cs="Arial"/>
          <w:szCs w:val="28"/>
        </w:rPr>
      </w:pPr>
      <w:r w:rsidRPr="006301C0">
        <w:rPr>
          <w:rFonts w:ascii="Arial" w:hAnsi="Arial" w:cs="Arial"/>
          <w:szCs w:val="28"/>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FE74BB3" w14:textId="77777777" w:rsidR="006571C9" w:rsidRPr="006571C9" w:rsidRDefault="006571C9" w:rsidP="006301C0">
      <w:pPr>
        <w:spacing w:before="120" w:line="360" w:lineRule="auto"/>
        <w:rPr>
          <w:rFonts w:ascii="Arial" w:hAnsi="Arial" w:cs="Arial"/>
          <w:szCs w:val="28"/>
        </w:rPr>
      </w:pPr>
      <w:r w:rsidRPr="006571C9">
        <w:rPr>
          <w:rFonts w:ascii="Arial" w:hAnsi="Arial" w:cs="Arial"/>
          <w:szCs w:val="28"/>
        </w:rPr>
        <w:t xml:space="preserve">W ocenie tutejszego organu Inspekcji wagi naruszenia prawa przez stronę nie można uznać za znikomą, gdyż brak wymaganych informacji dla łącznie </w:t>
      </w:r>
      <w:r w:rsidRPr="006571C9">
        <w:rPr>
          <w:rFonts w:ascii="Arial" w:hAnsi="Arial" w:cs="Arial"/>
          <w:b/>
          <w:bCs/>
          <w:szCs w:val="28"/>
        </w:rPr>
        <w:t>18</w:t>
      </w:r>
      <w:r w:rsidRPr="006571C9">
        <w:rPr>
          <w:rFonts w:ascii="Arial" w:hAnsi="Arial" w:cs="Arial"/>
          <w:szCs w:val="28"/>
        </w:rPr>
        <w:t xml:space="preserve"> produktów spośród </w:t>
      </w:r>
      <w:r w:rsidRPr="006571C9">
        <w:rPr>
          <w:rFonts w:ascii="Arial" w:hAnsi="Arial" w:cs="Arial"/>
          <w:b/>
          <w:bCs/>
          <w:szCs w:val="28"/>
        </w:rPr>
        <w:t>86</w:t>
      </w:r>
      <w:r w:rsidRPr="006571C9">
        <w:rPr>
          <w:rFonts w:ascii="Arial" w:hAnsi="Arial" w:cs="Arial"/>
          <w:szCs w:val="28"/>
        </w:rPr>
        <w:t xml:space="preserve"> sprawdzanych (niespełna </w:t>
      </w:r>
      <w:r w:rsidRPr="006571C9">
        <w:rPr>
          <w:rFonts w:ascii="Arial" w:hAnsi="Arial" w:cs="Arial"/>
          <w:b/>
          <w:bCs/>
          <w:szCs w:val="28"/>
        </w:rPr>
        <w:t>21 %</w:t>
      </w:r>
      <w:r w:rsidRPr="006571C9">
        <w:rPr>
          <w:rFonts w:ascii="Arial" w:hAnsi="Arial" w:cs="Arial"/>
          <w:szCs w:val="28"/>
        </w:rPr>
        <w:t xml:space="preserve">), stanowi zagrożenie dla interesów majątkowych klientów strony. Tym samym nie można było zastosować art. 189f § 1 pkt 1 kpa, gdyż wskazane w tym przepisie dwie przesłanki muszą wystąpić łącznie. </w:t>
      </w:r>
      <w:r w:rsidRPr="006571C9">
        <w:rPr>
          <w:rFonts w:ascii="Arial" w:hAnsi="Arial" w:cs="Arial"/>
          <w:szCs w:val="28"/>
        </w:rPr>
        <w:lastRenderedPageBreak/>
        <w:t>Mając na uwadze, że, jak wskazał organ, wagi naruszenia nie można było uznać za znikomą, nie znalazło uzasadnienia odstąpienie od wymierzenia od kary pieniężnej w trybie art. 189f § 1 pkt 1 kpa.</w:t>
      </w:r>
    </w:p>
    <w:p w14:paraId="17500A24" w14:textId="77777777" w:rsidR="006571C9" w:rsidRPr="006571C9" w:rsidRDefault="006571C9" w:rsidP="006301C0">
      <w:pPr>
        <w:spacing w:before="120" w:line="360" w:lineRule="auto"/>
        <w:rPr>
          <w:rFonts w:ascii="Arial" w:hAnsi="Arial" w:cs="Arial"/>
          <w:szCs w:val="28"/>
        </w:rPr>
      </w:pPr>
      <w:r w:rsidRPr="006571C9">
        <w:rPr>
          <w:rFonts w:ascii="Arial" w:hAnsi="Arial" w:cs="Arial"/>
          <w:szCs w:val="28"/>
        </w:rPr>
        <w:t>Nie można również było zastosować alternatywy, która umożliwiałaby zastosowanie możliwości odstąpienia od wymierzenia kary pieniężnej, wskazanej w przepisie art. 189f § 1 pkt 2 kpa. Kwestie cen sprawdzonych w trakcie kontroli DP.8361.52.2022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74A1C125" w14:textId="5A52244F" w:rsidR="006571C9" w:rsidRPr="006571C9" w:rsidRDefault="006571C9" w:rsidP="006301C0">
      <w:pPr>
        <w:spacing w:before="120" w:line="360" w:lineRule="auto"/>
        <w:rPr>
          <w:rFonts w:ascii="Arial" w:hAnsi="Arial" w:cs="Arial"/>
          <w:szCs w:val="28"/>
        </w:rPr>
      </w:pPr>
      <w:r w:rsidRPr="006571C9">
        <w:rPr>
          <w:rFonts w:ascii="Arial" w:hAnsi="Arial" w:cs="Arial"/>
          <w:szCs w:val="28"/>
        </w:rPr>
        <w:t>Brak jest także podstaw do odstąpienia od nałożenia kary pieniężnej na podstawie art. 189f § 2 kpa, w myśl którego w przypadkach innych niż wymienione w § 1, jeżeli pozwoli to</w:t>
      </w:r>
      <w:r w:rsidRPr="006301C0">
        <w:rPr>
          <w:rFonts w:ascii="Arial" w:hAnsi="Arial"/>
          <w:szCs w:val="28"/>
        </w:rPr>
        <w:t xml:space="preserve"> </w:t>
      </w:r>
      <w:r w:rsidRPr="006571C9">
        <w:rPr>
          <w:rFonts w:ascii="Arial" w:hAnsi="Arial" w:cs="Arial"/>
          <w:szCs w:val="28"/>
        </w:rPr>
        <w:t xml:space="preserve">na spełnienie celów, dla których miałaby być nałożona administracyjna kara pieniężna, organ administracji publicznej, w drodze postanowienia, może wyznaczyć stronie termin do przedstawienia dowodów potwierdzających: </w:t>
      </w:r>
    </w:p>
    <w:p w14:paraId="7C7B9FE0" w14:textId="77777777" w:rsidR="006571C9" w:rsidRPr="006301C0" w:rsidRDefault="006571C9" w:rsidP="006301C0">
      <w:pPr>
        <w:pStyle w:val="Akapitzlist"/>
        <w:numPr>
          <w:ilvl w:val="0"/>
          <w:numId w:val="33"/>
        </w:numPr>
        <w:spacing w:before="120" w:line="360" w:lineRule="auto"/>
        <w:rPr>
          <w:rFonts w:ascii="Arial" w:hAnsi="Arial" w:cs="Arial"/>
          <w:szCs w:val="28"/>
        </w:rPr>
      </w:pPr>
      <w:r w:rsidRPr="006301C0">
        <w:rPr>
          <w:rFonts w:ascii="Arial" w:hAnsi="Arial" w:cs="Arial"/>
          <w:szCs w:val="28"/>
        </w:rPr>
        <w:t>usunięcie naruszenia prawa lub</w:t>
      </w:r>
    </w:p>
    <w:p w14:paraId="2DB142E5" w14:textId="77777777" w:rsidR="006571C9" w:rsidRPr="006301C0" w:rsidRDefault="006571C9" w:rsidP="006301C0">
      <w:pPr>
        <w:pStyle w:val="Akapitzlist"/>
        <w:numPr>
          <w:ilvl w:val="0"/>
          <w:numId w:val="33"/>
        </w:numPr>
        <w:spacing w:before="120" w:line="360" w:lineRule="auto"/>
        <w:rPr>
          <w:rFonts w:ascii="Arial" w:hAnsi="Arial" w:cs="Arial"/>
          <w:szCs w:val="28"/>
        </w:rPr>
      </w:pPr>
      <w:r w:rsidRPr="006301C0">
        <w:rPr>
          <w:rFonts w:ascii="Arial" w:hAnsi="Arial" w:cs="Arial"/>
          <w:szCs w:val="28"/>
        </w:rPr>
        <w:t>powiadomienie właściwych podmiotów o stwierdzonym naruszeniu prawa, określając termin i sposób powiadomienia.</w:t>
      </w:r>
    </w:p>
    <w:p w14:paraId="0460220A" w14:textId="77777777" w:rsidR="006571C9" w:rsidRPr="006571C9" w:rsidRDefault="006571C9" w:rsidP="006301C0">
      <w:pPr>
        <w:spacing w:before="120" w:line="360" w:lineRule="auto"/>
        <w:rPr>
          <w:rFonts w:ascii="Arial" w:hAnsi="Arial" w:cs="Arial"/>
          <w:szCs w:val="28"/>
        </w:rPr>
      </w:pPr>
      <w:r w:rsidRPr="006571C9">
        <w:rPr>
          <w:rFonts w:ascii="Arial" w:hAnsi="Arial" w:cs="Arial"/>
          <w:szCs w:val="28"/>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7067AC0" w14:textId="77777777" w:rsidR="006571C9" w:rsidRPr="006571C9" w:rsidRDefault="006571C9" w:rsidP="006301C0">
      <w:pPr>
        <w:spacing w:before="120" w:line="360" w:lineRule="auto"/>
        <w:rPr>
          <w:rFonts w:ascii="Arial" w:hAnsi="Arial" w:cs="Arial"/>
          <w:szCs w:val="28"/>
        </w:rPr>
      </w:pPr>
      <w:r w:rsidRPr="006571C9">
        <w:rPr>
          <w:rFonts w:ascii="Arial" w:hAnsi="Arial" w:cs="Arial"/>
          <w:szCs w:val="28"/>
        </w:rPr>
        <w:t>W związku z powyższym tutejszy organ Inspekcji orzekł jak w sentencji.</w:t>
      </w:r>
    </w:p>
    <w:p w14:paraId="4E9FFC87" w14:textId="77777777" w:rsidR="006571C9" w:rsidRPr="006571C9" w:rsidRDefault="006571C9" w:rsidP="006301C0">
      <w:pPr>
        <w:spacing w:before="120" w:line="360" w:lineRule="auto"/>
        <w:rPr>
          <w:rFonts w:ascii="Arial" w:hAnsi="Arial" w:cs="Arial"/>
          <w:szCs w:val="28"/>
        </w:rPr>
      </w:pPr>
      <w:r w:rsidRPr="006571C9">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AA7ACB8" w14:textId="77777777" w:rsidR="006571C9" w:rsidRPr="006571C9" w:rsidRDefault="006571C9" w:rsidP="006571C9">
      <w:pPr>
        <w:pStyle w:val="Nagwek3"/>
        <w:spacing w:before="120"/>
        <w:rPr>
          <w:szCs w:val="28"/>
        </w:rPr>
      </w:pPr>
      <w:r w:rsidRPr="006571C9">
        <w:rPr>
          <w:szCs w:val="28"/>
        </w:rPr>
        <w:lastRenderedPageBreak/>
        <w:t xml:space="preserve">Podkarpacki Wojewódzki Inspektor Inspekcji Handlowej wydając decyzję oparł się na następujących dowodach: protokole kontroli DP.8361.52.2022 z dnia 1 czerwca 2022 r. wraz z załącznikami; zawiadomieniu o wszczęciu postępowania z dnia 30 września 2022 r. oraz wyjaśnieniach z dnia 6 października 2022 r., do których dołączono takie dokumenty jak: „Rachunek zysków i strat” oraz „Bilans” – wpływ do Delegatury 11 października 2022 r. </w:t>
      </w:r>
    </w:p>
    <w:p w14:paraId="7DCE87CD" w14:textId="65A92FD5" w:rsidR="0057018B" w:rsidRPr="006301C0" w:rsidRDefault="006571C9" w:rsidP="006571C9">
      <w:pPr>
        <w:pStyle w:val="Nagwek3"/>
        <w:spacing w:before="120"/>
        <w:rPr>
          <w:szCs w:val="28"/>
        </w:rPr>
      </w:pPr>
      <w:r w:rsidRPr="006571C9">
        <w:rPr>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6571C9">
        <w:rPr>
          <w:b/>
          <w:szCs w:val="28"/>
        </w:rPr>
        <w:t>NBP O/O w Rzeszowie 67 1010 1528 0016 5822 3100 0000,</w:t>
      </w:r>
      <w:r w:rsidR="006301C0">
        <w:rPr>
          <w:szCs w:val="28"/>
        </w:rPr>
        <w:t xml:space="preserve"> </w:t>
      </w:r>
      <w:r w:rsidRPr="006571C9">
        <w:rPr>
          <w:bCs w:val="0"/>
          <w:szCs w:val="28"/>
        </w:rPr>
        <w:t>w terminie 7 dni od dnia, w którym decyzja o wymierzeniu kary stała się ostateczna</w:t>
      </w:r>
      <w:r w:rsidR="0057018B" w:rsidRPr="006571C9">
        <w:rPr>
          <w:rFonts w:eastAsia="Calibri"/>
          <w:lang w:eastAsia="en-US"/>
        </w:rPr>
        <w:t>.</w:t>
      </w:r>
    </w:p>
    <w:p w14:paraId="6F515665" w14:textId="77777777" w:rsidR="0057018B" w:rsidRPr="006571C9" w:rsidRDefault="0057018B" w:rsidP="001E6BE6">
      <w:pPr>
        <w:pStyle w:val="Nagwek3"/>
        <w:spacing w:before="120"/>
        <w:rPr>
          <w:bCs w:val="0"/>
        </w:rPr>
      </w:pPr>
      <w:r w:rsidRPr="006571C9">
        <w:rPr>
          <w:bCs w:val="0"/>
        </w:rPr>
        <w:t>Pouczenie:</w:t>
      </w:r>
    </w:p>
    <w:p w14:paraId="60D090A1" w14:textId="77777777" w:rsidR="006571C9" w:rsidRPr="006571C9" w:rsidRDefault="006571C9" w:rsidP="006301C0">
      <w:pPr>
        <w:spacing w:line="360" w:lineRule="auto"/>
        <w:rPr>
          <w:rFonts w:ascii="Arial" w:hAnsi="Arial" w:cs="Arial"/>
          <w:szCs w:val="24"/>
        </w:rPr>
      </w:pPr>
      <w:r w:rsidRPr="006571C9">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C494D40" w14:textId="77777777" w:rsidR="006571C9" w:rsidRPr="006571C9" w:rsidRDefault="006571C9" w:rsidP="006301C0">
      <w:pPr>
        <w:spacing w:line="360" w:lineRule="auto"/>
        <w:rPr>
          <w:rFonts w:ascii="Arial" w:hAnsi="Arial" w:cs="Arial"/>
          <w:szCs w:val="24"/>
        </w:rPr>
      </w:pPr>
      <w:r w:rsidRPr="006571C9">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63256524" w:rsidR="0057018B" w:rsidRPr="006571C9" w:rsidRDefault="006571C9" w:rsidP="006301C0">
      <w:pPr>
        <w:spacing w:line="360" w:lineRule="auto"/>
        <w:rPr>
          <w:rFonts w:ascii="Arial" w:eastAsia="Calibri" w:hAnsi="Arial" w:cs="Arial"/>
          <w:szCs w:val="24"/>
          <w:lang w:eastAsia="en-US"/>
        </w:rPr>
      </w:pPr>
      <w:r w:rsidRPr="006571C9">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6571C9">
        <w:rPr>
          <w:rFonts w:ascii="Arial" w:hAnsi="Arial" w:cs="Arial"/>
          <w:szCs w:val="24"/>
        </w:rPr>
        <w:t>późn</w:t>
      </w:r>
      <w:proofErr w:type="spellEnd"/>
      <w:r w:rsidRPr="006571C9">
        <w:rPr>
          <w:rFonts w:ascii="Arial" w:hAnsi="Arial" w:cs="Arial"/>
          <w:szCs w:val="24"/>
        </w:rPr>
        <w:t>. zm.). Kary pieniężne podlegają egzekucji w trybie przepisów o postępowaniu egzekucyjnym w administracji w zakresie egzekucji obowiązków o charakterze pieniężnym</w:t>
      </w:r>
      <w:r w:rsidR="0057018B" w:rsidRPr="006571C9">
        <w:rPr>
          <w:rFonts w:ascii="Arial" w:eastAsia="Calibri" w:hAnsi="Arial" w:cs="Arial"/>
          <w:szCs w:val="24"/>
          <w:lang w:eastAsia="en-US"/>
        </w:rPr>
        <w:t>.</w:t>
      </w:r>
    </w:p>
    <w:p w14:paraId="11515186" w14:textId="77777777" w:rsidR="0057018B" w:rsidRPr="006571C9" w:rsidRDefault="0057018B" w:rsidP="001E6BE6">
      <w:pPr>
        <w:pStyle w:val="Nagwek3"/>
        <w:spacing w:before="120"/>
        <w:rPr>
          <w:b/>
          <w:bCs w:val="0"/>
        </w:rPr>
      </w:pPr>
      <w:r w:rsidRPr="006571C9">
        <w:rPr>
          <w:b/>
          <w:bCs w:val="0"/>
        </w:rPr>
        <w:t>Otrzymują:</w:t>
      </w:r>
    </w:p>
    <w:p w14:paraId="55C5280D" w14:textId="77777777" w:rsidR="006571C9" w:rsidRPr="006571C9" w:rsidRDefault="006571C9" w:rsidP="006571C9">
      <w:pPr>
        <w:numPr>
          <w:ilvl w:val="0"/>
          <w:numId w:val="28"/>
        </w:numPr>
        <w:spacing w:before="120" w:line="360" w:lineRule="auto"/>
        <w:ind w:left="357" w:hanging="357"/>
        <w:rPr>
          <w:rFonts w:ascii="Arial" w:hAnsi="Arial" w:cs="Arial"/>
          <w:szCs w:val="24"/>
          <w:lang w:eastAsia="zh-CN"/>
        </w:rPr>
      </w:pPr>
      <w:r w:rsidRPr="006571C9">
        <w:rPr>
          <w:rFonts w:ascii="Arial" w:hAnsi="Arial" w:cs="Arial"/>
          <w:szCs w:val="24"/>
          <w:lang w:eastAsia="zh-CN"/>
        </w:rPr>
        <w:t>Adresat;</w:t>
      </w:r>
    </w:p>
    <w:p w14:paraId="7F2B3E76" w14:textId="2D454718" w:rsidR="006571C9" w:rsidRPr="006571C9" w:rsidRDefault="006571C9" w:rsidP="006571C9">
      <w:pPr>
        <w:numPr>
          <w:ilvl w:val="0"/>
          <w:numId w:val="28"/>
        </w:numPr>
        <w:spacing w:before="120" w:line="360" w:lineRule="auto"/>
        <w:ind w:left="357" w:hanging="357"/>
        <w:rPr>
          <w:rFonts w:ascii="Arial" w:hAnsi="Arial" w:cs="Arial"/>
          <w:szCs w:val="24"/>
          <w:lang w:eastAsia="zh-CN"/>
        </w:rPr>
      </w:pPr>
      <w:r w:rsidRPr="006571C9">
        <w:rPr>
          <w:rFonts w:ascii="Arial" w:hAnsi="Arial" w:cs="Arial"/>
          <w:szCs w:val="24"/>
          <w:lang w:eastAsia="zh-CN"/>
        </w:rPr>
        <w:t>Wydz. BA;</w:t>
      </w:r>
    </w:p>
    <w:p w14:paraId="237B5DC0" w14:textId="735E2E83" w:rsidR="006571C9" w:rsidRPr="006571C9" w:rsidRDefault="006571C9" w:rsidP="006571C9">
      <w:pPr>
        <w:numPr>
          <w:ilvl w:val="0"/>
          <w:numId w:val="28"/>
        </w:numPr>
        <w:spacing w:before="120" w:line="360" w:lineRule="auto"/>
        <w:ind w:left="357" w:hanging="357"/>
        <w:rPr>
          <w:rFonts w:ascii="Arial" w:hAnsi="Arial" w:cs="Arial"/>
          <w:szCs w:val="24"/>
          <w:lang w:eastAsia="zh-CN"/>
        </w:rPr>
      </w:pPr>
      <w:r w:rsidRPr="006571C9">
        <w:rPr>
          <w:rFonts w:ascii="Arial" w:hAnsi="Arial" w:cs="Arial"/>
          <w:szCs w:val="24"/>
          <w:lang w:eastAsia="zh-CN"/>
        </w:rPr>
        <w:lastRenderedPageBreak/>
        <w:t>Aa (DP/P.W., po-</w:t>
      </w:r>
      <w:proofErr w:type="spellStart"/>
      <w:r w:rsidRPr="006571C9">
        <w:rPr>
          <w:rFonts w:ascii="Arial" w:hAnsi="Arial" w:cs="Arial"/>
          <w:szCs w:val="24"/>
          <w:lang w:eastAsia="zh-CN"/>
        </w:rPr>
        <w:t>m.o</w:t>
      </w:r>
      <w:proofErr w:type="spellEnd"/>
      <w:r w:rsidRPr="006571C9">
        <w:rPr>
          <w:rFonts w:ascii="Arial" w:hAnsi="Arial" w:cs="Arial"/>
          <w:szCs w:val="24"/>
          <w:lang w:eastAsia="zh-CN"/>
        </w:rPr>
        <w:t>.)</w:t>
      </w:r>
    </w:p>
    <w:p w14:paraId="45A6F4A7" w14:textId="179753ED" w:rsidR="003B7C7E" w:rsidRPr="006571C9" w:rsidRDefault="003B7C7E" w:rsidP="006571C9">
      <w:pPr>
        <w:spacing w:before="240" w:line="360" w:lineRule="auto"/>
        <w:rPr>
          <w:rFonts w:ascii="Arial" w:hAnsi="Arial" w:cs="Arial"/>
          <w:szCs w:val="24"/>
        </w:rPr>
      </w:pPr>
      <w:r w:rsidRPr="006571C9">
        <w:rPr>
          <w:rFonts w:ascii="Arial" w:hAnsi="Arial" w:cs="Arial"/>
          <w:szCs w:val="24"/>
        </w:rPr>
        <w:t>PODKARPACKI WOJEWÓDZKI INSPEKTOR INSPEKCJI HANDLOWEJ Jerzy Szczepański</w:t>
      </w:r>
    </w:p>
    <w:sectPr w:rsidR="003B7C7E" w:rsidRPr="006571C9"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9F63" w14:textId="77777777" w:rsidR="00BD21F2" w:rsidRDefault="00BD21F2">
      <w:r>
        <w:separator/>
      </w:r>
    </w:p>
  </w:endnote>
  <w:endnote w:type="continuationSeparator" w:id="0">
    <w:p w14:paraId="1A8BA11F" w14:textId="77777777" w:rsidR="00BD21F2" w:rsidRDefault="00BD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BD7C" w14:textId="77777777" w:rsidR="00BD21F2" w:rsidRDefault="00BD21F2">
      <w:r>
        <w:separator/>
      </w:r>
    </w:p>
  </w:footnote>
  <w:footnote w:type="continuationSeparator" w:id="0">
    <w:p w14:paraId="356F7455" w14:textId="77777777" w:rsidR="00BD21F2" w:rsidRDefault="00BD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E538D"/>
    <w:multiLevelType w:val="hybridMultilevel"/>
    <w:tmpl w:val="2626DDD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12371"/>
    <w:multiLevelType w:val="hybridMultilevel"/>
    <w:tmpl w:val="B7081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83E84"/>
    <w:multiLevelType w:val="hybridMultilevel"/>
    <w:tmpl w:val="1D9A06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43E1901"/>
    <w:multiLevelType w:val="hybridMultilevel"/>
    <w:tmpl w:val="F3F22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622B4A4A"/>
    <w:multiLevelType w:val="hybridMultilevel"/>
    <w:tmpl w:val="65A84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31"/>
  </w:num>
  <w:num w:numId="2" w16cid:durableId="755856837">
    <w:abstractNumId w:val="2"/>
  </w:num>
  <w:num w:numId="3" w16cid:durableId="1011568581">
    <w:abstractNumId w:val="22"/>
  </w:num>
  <w:num w:numId="4" w16cid:durableId="2045982488">
    <w:abstractNumId w:val="20"/>
  </w:num>
  <w:num w:numId="5" w16cid:durableId="978417063">
    <w:abstractNumId w:val="29"/>
  </w:num>
  <w:num w:numId="6" w16cid:durableId="1597709946">
    <w:abstractNumId w:val="28"/>
  </w:num>
  <w:num w:numId="7" w16cid:durableId="1929119673">
    <w:abstractNumId w:val="8"/>
  </w:num>
  <w:num w:numId="8" w16cid:durableId="1734816058">
    <w:abstractNumId w:val="18"/>
  </w:num>
  <w:num w:numId="9" w16cid:durableId="993067181">
    <w:abstractNumId w:val="6"/>
  </w:num>
  <w:num w:numId="10" w16cid:durableId="595820241">
    <w:abstractNumId w:val="7"/>
  </w:num>
  <w:num w:numId="11" w16cid:durableId="1771662352">
    <w:abstractNumId w:val="16"/>
  </w:num>
  <w:num w:numId="12" w16cid:durableId="1137455976">
    <w:abstractNumId w:val="3"/>
  </w:num>
  <w:num w:numId="13" w16cid:durableId="879130892">
    <w:abstractNumId w:val="5"/>
  </w:num>
  <w:num w:numId="14" w16cid:durableId="924414992">
    <w:abstractNumId w:val="14"/>
  </w:num>
  <w:num w:numId="15" w16cid:durableId="1804081619">
    <w:abstractNumId w:val="21"/>
  </w:num>
  <w:num w:numId="16" w16cid:durableId="321811206">
    <w:abstractNumId w:val="27"/>
  </w:num>
  <w:num w:numId="17" w16cid:durableId="534780060">
    <w:abstractNumId w:val="17"/>
  </w:num>
  <w:num w:numId="18" w16cid:durableId="917176647">
    <w:abstractNumId w:val="9"/>
  </w:num>
  <w:num w:numId="19" w16cid:durableId="360323045">
    <w:abstractNumId w:val="24"/>
  </w:num>
  <w:num w:numId="20" w16cid:durableId="752240416">
    <w:abstractNumId w:val="19"/>
  </w:num>
  <w:num w:numId="21" w16cid:durableId="1205171837">
    <w:abstractNumId w:val="25"/>
  </w:num>
  <w:num w:numId="22" w16cid:durableId="687869678">
    <w:abstractNumId w:val="30"/>
  </w:num>
  <w:num w:numId="23" w16cid:durableId="283510441">
    <w:abstractNumId w:val="15"/>
  </w:num>
  <w:num w:numId="24" w16cid:durableId="758020619">
    <w:abstractNumId w:val="13"/>
  </w:num>
  <w:num w:numId="25" w16cid:durableId="1529218954">
    <w:abstractNumId w:val="26"/>
  </w:num>
  <w:num w:numId="26" w16cid:durableId="1477264491">
    <w:abstractNumId w:val="32"/>
  </w:num>
  <w:num w:numId="27" w16cid:durableId="144903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519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6983445">
    <w:abstractNumId w:val="1"/>
  </w:num>
  <w:num w:numId="30" w16cid:durableId="752625653">
    <w:abstractNumId w:val="4"/>
  </w:num>
  <w:num w:numId="31" w16cid:durableId="15622456">
    <w:abstractNumId w:val="23"/>
  </w:num>
  <w:num w:numId="32" w16cid:durableId="168446881">
    <w:abstractNumId w:val="10"/>
  </w:num>
  <w:num w:numId="33" w16cid:durableId="175801446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66B"/>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1C0"/>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1C9"/>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2"/>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27FF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6571C9"/>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3402</Words>
  <Characters>20413</Characters>
  <Application>Microsoft Office Word</Application>
  <DocSecurity>2</DocSecurity>
  <Lines>170</Lines>
  <Paragraphs>47</Paragraphs>
  <ScaleCrop>false</ScaleCrop>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2023-01-11T12:45:00Z</dcterms:created>
  <dcterms:modified xsi:type="dcterms:W3CDTF">2023-01-11T12:45:00Z</dcterms:modified>
</cp:coreProperties>
</file>