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70A663D3" w:rsidR="0089209F" w:rsidRPr="009B14A2" w:rsidRDefault="0089209F" w:rsidP="0089209F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9B14A2">
        <w:rPr>
          <w:rFonts w:ascii="Arial" w:hAnsi="Arial" w:cs="Arial"/>
        </w:rPr>
        <w:t xml:space="preserve">Rzeszów, </w:t>
      </w:r>
      <w:r w:rsidR="0068058E" w:rsidRPr="009B14A2">
        <w:rPr>
          <w:rFonts w:ascii="Arial" w:hAnsi="Arial" w:cs="Arial"/>
          <w:lang w:val="pl-PL"/>
        </w:rPr>
        <w:t>17 lutego</w:t>
      </w:r>
      <w:r w:rsidR="0009281D" w:rsidRPr="009B14A2">
        <w:rPr>
          <w:rFonts w:ascii="Arial" w:hAnsi="Arial" w:cs="Arial"/>
          <w:lang w:val="pl-PL"/>
        </w:rPr>
        <w:t xml:space="preserve"> </w:t>
      </w:r>
      <w:r w:rsidRPr="009B14A2">
        <w:rPr>
          <w:rFonts w:ascii="Arial" w:hAnsi="Arial" w:cs="Arial"/>
        </w:rPr>
        <w:t>2022 r.</w:t>
      </w:r>
    </w:p>
    <w:p w14:paraId="067C078B" w14:textId="554B50E8" w:rsidR="0089209F" w:rsidRPr="009B14A2" w:rsidRDefault="0009281D" w:rsidP="0089209F">
      <w:pPr>
        <w:pStyle w:val="Nagwek"/>
        <w:spacing w:line="360" w:lineRule="auto"/>
        <w:rPr>
          <w:rFonts w:ascii="Arial" w:hAnsi="Arial" w:cs="Arial"/>
        </w:rPr>
      </w:pPr>
      <w:r w:rsidRPr="009B14A2">
        <w:rPr>
          <w:rFonts w:ascii="Arial" w:hAnsi="Arial" w:cs="Arial"/>
          <w:lang w:val="pl-PL"/>
        </w:rPr>
        <w:t>D</w:t>
      </w:r>
      <w:r w:rsidR="0068058E" w:rsidRPr="009B14A2">
        <w:rPr>
          <w:rFonts w:ascii="Arial" w:hAnsi="Arial" w:cs="Arial"/>
          <w:lang w:val="pl-PL"/>
        </w:rPr>
        <w:t>P</w:t>
      </w:r>
      <w:r w:rsidRPr="009B14A2">
        <w:rPr>
          <w:rFonts w:ascii="Arial" w:hAnsi="Arial" w:cs="Arial"/>
          <w:lang w:val="pl-PL"/>
        </w:rPr>
        <w:t>.8361.</w:t>
      </w:r>
      <w:r w:rsidR="0068058E" w:rsidRPr="009B14A2">
        <w:rPr>
          <w:rFonts w:ascii="Arial" w:hAnsi="Arial" w:cs="Arial"/>
          <w:lang w:val="pl-PL"/>
        </w:rPr>
        <w:t>94</w:t>
      </w:r>
      <w:r w:rsidRPr="009B14A2">
        <w:rPr>
          <w:rFonts w:ascii="Arial" w:hAnsi="Arial" w:cs="Arial"/>
          <w:lang w:val="pl-PL"/>
        </w:rPr>
        <w:t>.2021</w:t>
      </w:r>
    </w:p>
    <w:bookmarkEnd w:id="0"/>
    <w:p w14:paraId="65E9E06F" w14:textId="7C4364F2" w:rsidR="00A96E78" w:rsidRPr="009B14A2" w:rsidRDefault="00187AEB" w:rsidP="00187AEB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9B14A2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56513BE5" w:rsidR="007F1BE6" w:rsidRPr="009B14A2" w:rsidRDefault="0089209F" w:rsidP="00187AEB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9B14A2">
        <w:rPr>
          <w:rFonts w:ascii="Arial" w:hAnsi="Arial" w:cs="Arial"/>
          <w:szCs w:val="24"/>
        </w:rPr>
        <w:t xml:space="preserve">Na </w:t>
      </w:r>
      <w:r w:rsidR="0068058E" w:rsidRPr="009B14A2">
        <w:rPr>
          <w:rFonts w:ascii="Arial" w:hAnsi="Arial" w:cs="Arial"/>
          <w:szCs w:val="24"/>
          <w:lang w:val="pl-PL"/>
        </w:rPr>
        <w:t xml:space="preserve">podstawie art. 91 pkt 26 lit. c ustawy z dnia 11 września 2015 r. o zużytym sprzęcie elektrycznym i elektronicznym (Dz. U. z 2020 r., poz. 1893 z </w:t>
      </w:r>
      <w:proofErr w:type="spellStart"/>
      <w:r w:rsidR="0068058E" w:rsidRPr="009B14A2">
        <w:rPr>
          <w:rFonts w:ascii="Arial" w:hAnsi="Arial" w:cs="Arial"/>
          <w:szCs w:val="24"/>
          <w:lang w:val="pl-PL"/>
        </w:rPr>
        <w:t>późn</w:t>
      </w:r>
      <w:proofErr w:type="spellEnd"/>
      <w:r w:rsidR="0068058E" w:rsidRPr="009B14A2">
        <w:rPr>
          <w:rFonts w:ascii="Arial" w:hAnsi="Arial" w:cs="Arial"/>
          <w:szCs w:val="24"/>
          <w:lang w:val="pl-PL"/>
        </w:rPr>
        <w:t xml:space="preserve">. zm.) oraz art. 104 § 1 ustawy z dnia 14 czerwca 1960 r. – Kodeks postępowania administracyjnego (tekst jednolity: Dz. U. z 2021 r. poz. 735 z </w:t>
      </w:r>
      <w:proofErr w:type="spellStart"/>
      <w:r w:rsidR="0068058E" w:rsidRPr="009B14A2">
        <w:rPr>
          <w:rFonts w:ascii="Arial" w:hAnsi="Arial" w:cs="Arial"/>
          <w:szCs w:val="24"/>
          <w:lang w:val="pl-PL"/>
        </w:rPr>
        <w:t>późn</w:t>
      </w:r>
      <w:proofErr w:type="spellEnd"/>
      <w:r w:rsidR="0068058E" w:rsidRPr="009B14A2">
        <w:rPr>
          <w:rFonts w:ascii="Arial" w:hAnsi="Arial" w:cs="Arial"/>
          <w:szCs w:val="24"/>
          <w:lang w:val="pl-PL"/>
        </w:rPr>
        <w:t>. zm.), po przeprowadzeniu postępowania administracyjnego wszczętego z urzędu</w:t>
      </w:r>
      <w:r w:rsidR="00065686" w:rsidRPr="009B14A2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9B14A2" w:rsidRDefault="00774EB6" w:rsidP="00187AEB">
      <w:pPr>
        <w:pStyle w:val="Nagwek2"/>
      </w:pPr>
      <w:r w:rsidRPr="009B14A2">
        <w:t>Podkarpacki Wojewódzki Inspektor Inspekcji Handlowej wymierza</w:t>
      </w:r>
    </w:p>
    <w:p w14:paraId="31430C92" w14:textId="7B0A4E6B" w:rsidR="00774EB6" w:rsidRPr="009B14A2" w:rsidRDefault="0068058E" w:rsidP="0009281D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68058E">
        <w:rPr>
          <w:rFonts w:ascii="Arial" w:hAnsi="Arial" w:cs="Arial"/>
          <w:szCs w:val="24"/>
        </w:rPr>
        <w:t xml:space="preserve">przedsiębiorcy: </w:t>
      </w:r>
      <w:r w:rsidRPr="0068058E">
        <w:rPr>
          <w:rFonts w:ascii="Arial" w:hAnsi="Arial" w:cs="Arial"/>
          <w:b/>
          <w:bCs/>
          <w:szCs w:val="24"/>
        </w:rPr>
        <w:t>EJMAX Spółka Jawna E. Bogusz i Wspólnicy, ul.</w:t>
      </w:r>
      <w:r w:rsidRPr="0068058E">
        <w:rPr>
          <w:rFonts w:ascii="Arial" w:hAnsi="Arial" w:cs="Arial"/>
          <w:szCs w:val="24"/>
        </w:rPr>
        <w:t xml:space="preserve"> </w:t>
      </w:r>
      <w:r w:rsidRPr="0068058E">
        <w:rPr>
          <w:rFonts w:ascii="Arial" w:hAnsi="Arial" w:cs="Arial"/>
          <w:b/>
          <w:bCs/>
          <w:szCs w:val="24"/>
        </w:rPr>
        <w:t>(dane zanonimizowane)</w:t>
      </w:r>
      <w:r w:rsidRPr="0068058E">
        <w:rPr>
          <w:rFonts w:ascii="Arial" w:hAnsi="Arial" w:cs="Arial"/>
          <w:szCs w:val="24"/>
        </w:rPr>
        <w:t xml:space="preserve"> </w:t>
      </w:r>
      <w:r w:rsidRPr="0068058E">
        <w:rPr>
          <w:rFonts w:ascii="Arial" w:hAnsi="Arial" w:cs="Arial"/>
          <w:b/>
          <w:bCs/>
          <w:szCs w:val="24"/>
        </w:rPr>
        <w:t>Lubaczów</w:t>
      </w:r>
      <w:r w:rsidRPr="0068058E">
        <w:rPr>
          <w:rFonts w:ascii="Arial" w:hAnsi="Arial" w:cs="Arial"/>
          <w:szCs w:val="24"/>
        </w:rPr>
        <w:t xml:space="preserve"> – karę pieniężną w wysokości </w:t>
      </w:r>
      <w:r w:rsidRPr="0068058E">
        <w:rPr>
          <w:rFonts w:ascii="Arial" w:hAnsi="Arial" w:cs="Arial"/>
          <w:b/>
          <w:bCs/>
          <w:szCs w:val="24"/>
        </w:rPr>
        <w:t>5000 zł</w:t>
      </w:r>
      <w:r w:rsidRPr="0068058E">
        <w:rPr>
          <w:rFonts w:ascii="Arial" w:hAnsi="Arial" w:cs="Arial"/>
          <w:szCs w:val="24"/>
        </w:rPr>
        <w:t xml:space="preserve"> (słownie: </w:t>
      </w:r>
      <w:r w:rsidRPr="0068058E">
        <w:rPr>
          <w:rFonts w:ascii="Arial" w:hAnsi="Arial" w:cs="Arial"/>
          <w:b/>
          <w:bCs/>
          <w:szCs w:val="24"/>
        </w:rPr>
        <w:t>pięć tysięcy złotych</w:t>
      </w:r>
      <w:r w:rsidRPr="0068058E">
        <w:rPr>
          <w:rFonts w:ascii="Arial" w:hAnsi="Arial" w:cs="Arial"/>
          <w:szCs w:val="24"/>
        </w:rPr>
        <w:t xml:space="preserve">) z tytułu niedopełnienia w należącej do przedsiębiorcy placówce handlowej zlokalizowanej w Lubaczowie przy ul. </w:t>
      </w:r>
      <w:r w:rsidRPr="0068058E">
        <w:rPr>
          <w:rFonts w:ascii="Arial" w:hAnsi="Arial" w:cs="Arial"/>
          <w:b/>
          <w:bCs/>
          <w:szCs w:val="24"/>
        </w:rPr>
        <w:t>(dane zanonimizowane)</w:t>
      </w:r>
      <w:r w:rsidRPr="0068058E">
        <w:rPr>
          <w:rFonts w:ascii="Arial" w:hAnsi="Arial" w:cs="Arial"/>
          <w:szCs w:val="24"/>
        </w:rPr>
        <w:t>, obowiązku umieszczenia w widocznym miejscu informacji określonych w art. 39 pkt 2 ustawy o zużytym sprzęcie elektrycznym i elektronicznym.</w:t>
      </w:r>
      <w:r w:rsidR="00774EB6" w:rsidRPr="009B14A2">
        <w:rPr>
          <w:rFonts w:ascii="Arial" w:hAnsi="Arial" w:cs="Arial"/>
          <w:szCs w:val="24"/>
        </w:rPr>
        <w:t xml:space="preserve"> </w:t>
      </w:r>
    </w:p>
    <w:p w14:paraId="637F9D98" w14:textId="0ECE6F3E" w:rsidR="00D74C22" w:rsidRPr="009B14A2" w:rsidRDefault="00B65984" w:rsidP="00FA0E4F">
      <w:pPr>
        <w:pStyle w:val="Nagwek2"/>
      </w:pPr>
      <w:r w:rsidRPr="009B14A2">
        <w:t>Uzasadnienie</w:t>
      </w:r>
    </w:p>
    <w:p w14:paraId="1FD1DFDC" w14:textId="77777777" w:rsidR="0068058E" w:rsidRPr="009B14A2" w:rsidRDefault="00D27EFC" w:rsidP="0068058E">
      <w:pPr>
        <w:pStyle w:val="Nagwek3"/>
        <w:spacing w:before="120"/>
      </w:pPr>
      <w:r w:rsidRPr="009B14A2">
        <w:t xml:space="preserve">Na </w:t>
      </w:r>
      <w:r w:rsidR="0068058E" w:rsidRPr="009B14A2">
        <w:t xml:space="preserve">podstawie art. 3 ust. 1 pkt 2a ustawy z dnia 15 grudnia 2000 r. o Inspekcji Handlowej (tekst jednolity: Dz. U. z 2020 r., poz. 1706) oraz art. 87 ustawy z dnia 11 września 2015 r. o zużytym sprzęcie elektrycznym i elektronicznym (tekst jednolity: Dz. U. z 2020 r., poz. 1893) – zwanej dalej „ustawą” - inspektorzy z Delegatury w Przemyślu Wojewódzkiego Inspektoratu Inspekcji Handlowej w Rzeszowie przeprowadzili w dniach 4 i 5 października 2021 r. kontrolę w placówce zlokalizowanej przy ul. </w:t>
      </w:r>
      <w:r w:rsidR="0068058E" w:rsidRPr="009B14A2">
        <w:rPr>
          <w:b/>
        </w:rPr>
        <w:t>(dane zanonimizowane)</w:t>
      </w:r>
      <w:r w:rsidR="0068058E" w:rsidRPr="009B14A2">
        <w:t xml:space="preserve"> w Lubaczowie, należącej do przedsiębiorcy: EJMAX Spółka Jawna E. Bogusz i Wspólnicy, ul. </w:t>
      </w:r>
      <w:r w:rsidR="0068058E" w:rsidRPr="009B14A2">
        <w:rPr>
          <w:b/>
        </w:rPr>
        <w:t>(dane zanonimizowane)</w:t>
      </w:r>
      <w:r w:rsidR="0068058E" w:rsidRPr="009B14A2">
        <w:t xml:space="preserve"> Lubaczów – zwaną dalej: „przedsiębiorcą”, „kontrolowaną spółką” lub „stroną”.</w:t>
      </w:r>
    </w:p>
    <w:p w14:paraId="5185B2E4" w14:textId="77777777" w:rsidR="0068058E" w:rsidRPr="0068058E" w:rsidRDefault="0068058E" w:rsidP="0068058E">
      <w:pPr>
        <w:pStyle w:val="Nagwek3"/>
        <w:spacing w:before="120"/>
      </w:pPr>
      <w:r w:rsidRPr="0068058E">
        <w:t xml:space="preserve">Kontrolę, zgodnie z art. 48 ust. 1 ustawy z dnia 6 marca 2018 r. Prawo przedsiębiorców (tekst jednolity: Dz. U. z 2021 r., poz. 162) poprzedzono skierowanym do przedsiębiorcy Zawiadomieniem o zamiarze wszczęcia kontroli, </w:t>
      </w:r>
      <w:r w:rsidRPr="0068058E">
        <w:lastRenderedPageBreak/>
        <w:t xml:space="preserve">sygnatura DP.8360.68.2021 z dnia 20 września 2021 r. Odbiór zawiadomienia tego samego dnia tj. 20 września 2021 r. pokwitował Pan </w:t>
      </w:r>
      <w:r w:rsidRPr="0068058E">
        <w:rPr>
          <w:b/>
        </w:rPr>
        <w:t>(dane zanonimizowane)</w:t>
      </w:r>
      <w:r w:rsidRPr="0068058E">
        <w:t xml:space="preserve"> – wspólnik w spółce.</w:t>
      </w:r>
    </w:p>
    <w:p w14:paraId="112CC8F8" w14:textId="77777777" w:rsidR="0068058E" w:rsidRPr="0068058E" w:rsidRDefault="0068058E" w:rsidP="0068058E">
      <w:pPr>
        <w:pStyle w:val="Nagwek3"/>
        <w:spacing w:before="120"/>
      </w:pPr>
      <w:r w:rsidRPr="0068058E">
        <w:t>W trakcie kontroli inspektorzy reprezentujący Podkarpackiego Wojewódzkiego Inspektora Inspekcji Handlowej, sprawdzając prawidłowość wykonywania działalności w zakresie wynikającym z art. 37 oraz art. 39 ustawy, stwierdzili naruszenie przez przedsiębiorcę obowiązków wskazanych w art. 39 pkt 2 ustawy.</w:t>
      </w:r>
    </w:p>
    <w:p w14:paraId="7E269A65" w14:textId="77777777" w:rsidR="0068058E" w:rsidRPr="0068058E" w:rsidRDefault="0068058E" w:rsidP="0068058E">
      <w:pPr>
        <w:pStyle w:val="Nagwek3"/>
        <w:spacing w:before="120"/>
      </w:pPr>
      <w:r w:rsidRPr="0068058E">
        <w:t>Stwierdzone naruszenie art. 39 pkt 2 ustawy polegało na nieumieszczeniu przez przedsiębiorcę w widocznym miejscu w punkcie sprzedaży informacji o punktach zbierania zużytego sprzętu.</w:t>
      </w:r>
    </w:p>
    <w:p w14:paraId="29FE1FC3" w14:textId="77777777" w:rsidR="0068058E" w:rsidRPr="0068058E" w:rsidRDefault="0068058E" w:rsidP="0068058E">
      <w:pPr>
        <w:pStyle w:val="Nagwek3"/>
        <w:spacing w:before="120"/>
      </w:pPr>
      <w:r w:rsidRPr="0068058E">
        <w:t xml:space="preserve">W związku z brakiem powyższej informacji uczestniczący w kontroli wspólnik - Pan </w:t>
      </w:r>
      <w:r w:rsidRPr="0068058E">
        <w:rPr>
          <w:b/>
        </w:rPr>
        <w:t>(dane zanonimizowane)</w:t>
      </w:r>
      <w:r w:rsidRPr="0068058E">
        <w:t xml:space="preserve"> - oświadczył, że brak informacji dla klientów o możliwości oddania zużytego sprzętu elektronicznego i elektrycznego do Punktu Selektywnej Zbiorki Odpadów w Lubaczowie spowodowany był niewiedzą o konieczności umieszczenia takiej informacji w sklepie oraz faktem, że na stronie Urzędu Miejskiego widnieje taka informacja. Ponadto oświadczył, iż o możliwości zwrotu takiego sprzętu klienci są informowani ustnie. Zobowiązano się do bezzwłocznego umieszczenia takiej informacji.</w:t>
      </w:r>
    </w:p>
    <w:p w14:paraId="1515341D" w14:textId="77777777" w:rsidR="0068058E" w:rsidRPr="0068058E" w:rsidRDefault="0068058E" w:rsidP="0068058E">
      <w:pPr>
        <w:pStyle w:val="Nagwek3"/>
        <w:spacing w:before="120"/>
      </w:pPr>
      <w:r w:rsidRPr="0068058E">
        <w:t xml:space="preserve">Powyższe ustalenia udokumentowano w protokole z kontroli przeprowadzonej w dniach 4 i 5 października 2021 r., sygn. DP.8361.94.2021. W aktach sprawy zalegają załączniki takie jak m.in. fotografia informacji stwierdzonych w kontrolowanej placówce (art. 37 ust. 1-3 ustawy), a także oświadczenie wspólnika dot. braku wymaganej informacji (art. 39 pkt 2 ustawy). Uwag do protokołu nie wnoszono. </w:t>
      </w:r>
    </w:p>
    <w:p w14:paraId="4111ACA1" w14:textId="697CFFD2" w:rsidR="00F64E33" w:rsidRPr="009B14A2" w:rsidRDefault="0068058E" w:rsidP="0068058E">
      <w:pPr>
        <w:pStyle w:val="Nagwek3"/>
        <w:spacing w:before="120"/>
      </w:pPr>
      <w:r w:rsidRPr="009B14A2">
        <w:t xml:space="preserve">W związku z powyższymi ustaleniami, pismem z dnia 17 stycznia 2022 r. Podkarpacki Wojewódzki Inspektor Inspekcji Handlowej zawiadomił stronę o wszczęciu z urzędu postepowania w trybie art. 91 pkt 26 lit. c ustawy, w którym pouczono stronę o przysługującym Jej prawie do czynnego udziału w postępowaniu, a w szczególności o prawie wypowiadania się co do zebranych dowodów i materiałów, przeglądania akt sprawy, jak również brania udziału w przeprowadzaniu dowodu oraz możliwości złożenia wyjaśnienia. Stronę poinformowano również, że </w:t>
      </w:r>
      <w:r w:rsidRPr="009B14A2">
        <w:lastRenderedPageBreak/>
        <w:t>prawo do powyższych czynności przysługuje po zakończeniu postępowania. Strona nie skorzystała z przysługujących jej praw</w:t>
      </w:r>
      <w:r w:rsidR="00F64E33" w:rsidRPr="009B14A2">
        <w:t>.</w:t>
      </w:r>
    </w:p>
    <w:p w14:paraId="048832BA" w14:textId="1D7C2403" w:rsidR="00A96E78" w:rsidRPr="009B14A2" w:rsidRDefault="00F64E33" w:rsidP="009958CB">
      <w:pPr>
        <w:pStyle w:val="Nagwek2"/>
      </w:pPr>
      <w:r w:rsidRPr="009B14A2">
        <w:t>Podkarpacki Wojewódzki Inspektor Inspekcji Handlowej ustalił i stwierdził, co następuje</w:t>
      </w:r>
      <w:r w:rsidR="0051739C" w:rsidRPr="009B14A2">
        <w:t>:</w:t>
      </w:r>
    </w:p>
    <w:p w14:paraId="4FF62A85" w14:textId="30996A24" w:rsidR="0068058E" w:rsidRPr="0068058E" w:rsidRDefault="0068058E" w:rsidP="0068058E">
      <w:pPr>
        <w:pStyle w:val="Nagwek3"/>
        <w:spacing w:before="120"/>
        <w:rPr>
          <w:bCs w:val="0"/>
          <w:szCs w:val="28"/>
        </w:rPr>
      </w:pPr>
      <w:r w:rsidRPr="0068058E">
        <w:rPr>
          <w:bCs w:val="0"/>
          <w:szCs w:val="28"/>
        </w:rPr>
        <w:t>Zgodnie z art. 93 ust. 2 ustawy administracyjne kary pieniężne za naruszenia przepisów,</w:t>
      </w:r>
      <w:r w:rsidR="009B14A2" w:rsidRPr="009B14A2">
        <w:rPr>
          <w:bCs w:val="0"/>
          <w:szCs w:val="28"/>
        </w:rPr>
        <w:t xml:space="preserve"> </w:t>
      </w:r>
      <w:r w:rsidRPr="0068058E">
        <w:rPr>
          <w:bCs w:val="0"/>
          <w:szCs w:val="28"/>
        </w:rPr>
        <w:t>o których mowa w art. 91 pkt 22-26, wymierza, w drodze decyzji, właściwy wojewódzki inspektor inspekcji handlowej. W powyższej sprawie kontrola przeprowadzona została w sklepie zlokalizowanym w Lubaczowie, dlatego właściwym do wszczęcia i przeprowadzenia postępowania administracyjnego oraz wydania niniejszej decyzji jest Podkarpacki Wojewódzki Inspektor Inspekcji Handlowej.</w:t>
      </w:r>
    </w:p>
    <w:p w14:paraId="31C9FE3F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Zgodnie z art. 87 ustawy, do zadań Inspekcji Handlowej należy kontrola przestrzegania przez dystrybutorów przepisów art. 37 i 39 cytowanej ustawy.</w:t>
      </w:r>
    </w:p>
    <w:p w14:paraId="2D2B7DC5" w14:textId="548DC115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Artykuł 37 ust. 4 ustawy wskazuje, że dystrybutor jest obowiązany do umieszczenia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widocznym miejscu w punkcie sprzedaży informacji w zakresie, o którym mowa m. in.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art. 37 ust. 1-3 ww. ustawy, które zobowiązują dystrybutorów do:</w:t>
      </w:r>
    </w:p>
    <w:p w14:paraId="7884C1F5" w14:textId="1BC786E9" w:rsidR="0068058E" w:rsidRPr="0068058E" w:rsidRDefault="0068058E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nieodpłatnego odbioru zużytego sprzętu pochodzącego z gospodarstw domowych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punkcie sprzedaży, o ile zużyty sprzęt jest tego samego rodzaju i pełnił te same funkcje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co sprzęt sprzedawany (ust. 1),</w:t>
      </w:r>
    </w:p>
    <w:p w14:paraId="1811DA94" w14:textId="10AB0881" w:rsidR="0068058E" w:rsidRPr="0068058E" w:rsidRDefault="0068058E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w przypadku dostarczania nabywcy sprzętu przeznaczonego dla gospodarstw domowych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– do nieodpłatnego odbioru zużytego sprzętu pochodzącego z gospodarstw domowych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miejscu dostawy tego sprzętu, o ile zużyty sprzęt jest tego samego rodzaju i pełnił te same funkcje co sprzęt dostarczony (ust. 2),</w:t>
      </w:r>
    </w:p>
    <w:p w14:paraId="7FFB1BEE" w14:textId="0AD04343" w:rsidR="0068058E" w:rsidRPr="0068058E" w:rsidRDefault="0068058E">
      <w:pPr>
        <w:numPr>
          <w:ilvl w:val="0"/>
          <w:numId w:val="2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do nieodpłatnego przyjęcia przez dystrybutora prowadzącego jednostkę handlu detalicznego o powierzchni sprzedaży w rozumieniu art. 2 pkt 19 ustawy z dnia 27 marca 2003 r.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o planowaniu i zagospodarowaniu przestrzennym, wynoszącej co najmniej 400 m</w:t>
      </w:r>
      <w:r w:rsidRPr="0068058E">
        <w:rPr>
          <w:rFonts w:ascii="Arial" w:hAnsi="Arial" w:cs="Arial"/>
          <w:szCs w:val="28"/>
          <w:vertAlign w:val="superscript"/>
        </w:rPr>
        <w:t>2</w:t>
      </w:r>
      <w:r w:rsidRPr="0068058E">
        <w:rPr>
          <w:rFonts w:ascii="Arial" w:hAnsi="Arial" w:cs="Arial"/>
          <w:szCs w:val="28"/>
        </w:rPr>
        <w:t xml:space="preserve"> poświęconej sprzedaży sprzętu przeznaczonego dla gospodarstw domowych w tej jednostce lub w jej bezpośredniej bliskości zużytego sprzętu pochodzącego z gospodarstw domowych, którego żaden z zewnętrznych wymiarów nie przekracza 25 cm, bez konieczności zakupu nowego sprzętu przeznaczonego dla gospodarstw domowych (nawet w sytuacji nieprowadzenia </w:t>
      </w:r>
      <w:r w:rsidRPr="0068058E">
        <w:rPr>
          <w:rFonts w:ascii="Arial" w:hAnsi="Arial" w:cs="Arial"/>
          <w:szCs w:val="28"/>
        </w:rPr>
        <w:lastRenderedPageBreak/>
        <w:t>jednostki handlu detalicznego o powierzchni wynoszącej co najmniej wskazane 400 m</w:t>
      </w:r>
      <w:r w:rsidRPr="0068058E">
        <w:rPr>
          <w:rFonts w:ascii="Arial" w:hAnsi="Arial" w:cs="Arial"/>
          <w:szCs w:val="28"/>
          <w:vertAlign w:val="superscript"/>
        </w:rPr>
        <w:t>2</w:t>
      </w:r>
      <w:r w:rsidRPr="0068058E">
        <w:rPr>
          <w:rFonts w:ascii="Arial" w:hAnsi="Arial" w:cs="Arial"/>
          <w:szCs w:val="28"/>
        </w:rPr>
        <w:t>).</w:t>
      </w:r>
    </w:p>
    <w:p w14:paraId="5F6B7431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Art. 39 pkt 2 ustawy nakłada na dystrybutora obowiązek umieszczenia w widocznym miejscu w punkcie sprzedaży informacji o punktach zbierania zużytego sprzętu, a w przypadku udostępniania na rynku sprzętu za pomocą środków porozumiewania się na odległość – do przekazania tych informacji w sposób umożliwiający zapoznanie się z nimi, w szczególności na stronie internetowej lub w formie komunikatu.</w:t>
      </w:r>
    </w:p>
    <w:p w14:paraId="38556A05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Przez dystrybutora, zgodnie z definicją zawartą w art. 4 pkt 2 ustawy rozumie się osobę fizyczną, jednostkę organizacyjną niemającą osobowości prawnej lub osobę prawną w łańcuchu dostaw, która udostępnia na rynku sprzęt; dystrybutor może być jednocześnie wprowadzającym sprzęt.</w:t>
      </w:r>
    </w:p>
    <w:p w14:paraId="3FD12313" w14:textId="105B51E0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Według ustawy, pod pojęciem sprzętu rozumie się urządzenie którego prawidłowe działanie jest uzależnione od dopływu prądu elektrycznego lub od obecności pól elektromagnetycznych,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 xml:space="preserve">oraz urządzenie mogące służyć do wytwarzania, </w:t>
      </w:r>
      <w:proofErr w:type="spellStart"/>
      <w:r w:rsidRPr="0068058E">
        <w:rPr>
          <w:rFonts w:ascii="Arial" w:hAnsi="Arial" w:cs="Arial"/>
          <w:szCs w:val="28"/>
        </w:rPr>
        <w:t>przesyłu</w:t>
      </w:r>
      <w:proofErr w:type="spellEnd"/>
      <w:r w:rsidRPr="0068058E">
        <w:rPr>
          <w:rFonts w:ascii="Arial" w:hAnsi="Arial" w:cs="Arial"/>
          <w:szCs w:val="28"/>
        </w:rPr>
        <w:t xml:space="preserve"> lub pomiaru prądu elektrycznego lub pól elektromagnetycznych, które są zaprojektowane do użytku przy napięciu elektrycznym nieprzekraczającym 1000 V dla prądu przemiennego oraz 1500 V dla prądu stałego (art. 4 pkt 13 ustawy).</w:t>
      </w:r>
    </w:p>
    <w:p w14:paraId="553B60E6" w14:textId="5C8BB6FE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Sprzętem przeznaczonym dla gospodarstw domowych jest sprzęt, który może być używany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gospodarstwach domowych, jak i przez użytkowników innych niż gospodarstwa domowe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(art. 4 pkt 14 ustawy).</w:t>
      </w:r>
    </w:p>
    <w:p w14:paraId="62013EF4" w14:textId="275B8FAE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Natomiast udostępnienie na rynku to dostarczanie sprzętu w celu jego dystrybucji, konsumpcji lub używania na terytorium kraju w ramach działalności gospodarczej, odpłatnie lub nieodpłatnie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(art. 4 pkt 17 ustawy).</w:t>
      </w:r>
    </w:p>
    <w:p w14:paraId="64D909F4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Pojęcie zużytego sprzętu pochodzącego z gospodarstw domowych zdefiniowane zostało w art. 4 pkt 25 ustawy i oznacza zużyty sprzęt pochodzący z gospodarstw domowych oraz zużyty sprzęt pochodzący ze źródeł innych niż gospodarstwa domowe, który ze względu na charakter i ilość jest podobny do zużytego sprzętu 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755FC462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lastRenderedPageBreak/>
        <w:t>Zgodnie z art. 91 pkt 26 lit. c ustawy, administracyjnej karze pieniężnej podlega ten, kto wbrew przepisom art. 39 ustawy nie umieszcza w widocznym miejscu w punkcie sprzedaży informacji o punktach zbierania zużytego sprzętu, a w przypadku udostępniania na rynku sprzętu za pomocą środków porozumiewania się na odległość – nie przekazuje tych informacji w sposób umożliwiający zapoznanie się z nimi, w szczególności na stronie internetowej lub w formie komunikatu.</w:t>
      </w:r>
    </w:p>
    <w:p w14:paraId="75FDCF45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Wysokość administracyjnej kary pieniężnej w przypadku naruszenia powyższego obowiązku, stosownie do art. 92 pkt 5 ustawy, wynosi od 5000 zł do 500 000 zł.</w:t>
      </w:r>
    </w:p>
    <w:p w14:paraId="25058B05" w14:textId="77777777" w:rsidR="0068058E" w:rsidRPr="0068058E" w:rsidRDefault="0068058E" w:rsidP="0068058E">
      <w:pPr>
        <w:pStyle w:val="Nagwek3"/>
        <w:spacing w:before="120"/>
        <w:rPr>
          <w:bCs w:val="0"/>
          <w:szCs w:val="28"/>
        </w:rPr>
      </w:pPr>
      <w:r w:rsidRPr="0068058E">
        <w:rPr>
          <w:bCs w:val="0"/>
          <w:szCs w:val="28"/>
        </w:rPr>
        <w:t>Po przeprowadzeniu analizy zebranych materiałów, w ocenie Podkarpackiego Wojewódzkiego Inspektora Inspekcji Handlowej, ustalenia przeprowadzonej w dniach 4 i 5 października 2021 r. dały podstawę do stwierdzenia, że przedsiębiorca będący dystrybutorem tj.: EJMAX Spółka Jawna E. Bogusz i Wspólnicy, nie wykonał ciążących na nim obowiązków wskazanych w art. 39 pkt 2 ustawy tj. nie umieścił w widocznym miejscu w punkcie sprzedaży, informacji o punktach zbierania zużytego sprzętu.</w:t>
      </w:r>
    </w:p>
    <w:p w14:paraId="60B30985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Przepisy ustawy nakazują właściwym organom wymierzyć karę podmiotowi, który nie wykonuje obowiązku określonego w ww. przepisach, choćby nastąpiło niezwłoczne usunięcie nieprawidłowości, tak jak wskazał to wspólnik jeszcze w trakcie kontroli. Wykazanie, że podmiot nie wykonał powyższego obowiązku, powoduje konieczność nałożenia administracyjnej kary pieniężnej.</w:t>
      </w:r>
    </w:p>
    <w:p w14:paraId="4F8110D4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Ustalając, wysokość kary zgodnie z art. 93 ust. 3 ustawy uwzględnia się stopień szkodliwości naruszenia, rodzaj, zakres i okres trwania naruszenia oraz dotychczasową działalność podmiotu.</w:t>
      </w:r>
    </w:p>
    <w:p w14:paraId="256F62DE" w14:textId="77777777" w:rsidR="0068058E" w:rsidRPr="0068058E" w:rsidRDefault="0068058E" w:rsidP="0068058E">
      <w:pPr>
        <w:pStyle w:val="Nagwek3"/>
        <w:spacing w:before="120"/>
        <w:rPr>
          <w:bCs w:val="0"/>
          <w:szCs w:val="28"/>
        </w:rPr>
      </w:pPr>
      <w:r w:rsidRPr="0068058E">
        <w:rPr>
          <w:bCs w:val="0"/>
          <w:szCs w:val="28"/>
        </w:rPr>
        <w:t xml:space="preserve">Uwzględniając zakres naruszenia przepisów ustawy Podkarpacki Wojewódzki Inspektor Inspekcji Handlowej stwierdził, iż strona nie wypełniła ciążącego na niej obowiązku przewidzianego przepisem art. 39 pkt 2 ustawy. Umieszczenie obowiązkowych informacji jest obligatoryjne dla wszystkich przedsiębiorców, których działalność gospodarcza wiąże się ze sprzętem elektrycznym i elektronicznym. </w:t>
      </w:r>
    </w:p>
    <w:p w14:paraId="3D30ADEC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Oceniając </w:t>
      </w:r>
      <w:r w:rsidRPr="0068058E">
        <w:rPr>
          <w:rFonts w:ascii="Arial" w:hAnsi="Arial" w:cs="Arial"/>
          <w:b/>
          <w:bCs/>
          <w:szCs w:val="28"/>
        </w:rPr>
        <w:t xml:space="preserve">stopień szkodliwości naruszenia </w:t>
      </w:r>
      <w:r w:rsidRPr="0068058E">
        <w:rPr>
          <w:rFonts w:ascii="Arial" w:hAnsi="Arial" w:cs="Arial"/>
          <w:szCs w:val="28"/>
        </w:rPr>
        <w:t xml:space="preserve">organ uwzględnił, że naruszony obowiązek miał na celu ułatwienie użytkownikom sprzętu pozbycia się w sposób prawidłowy odpadów w postaci zużytego sprzętu elektrycznego i elektronicznego. Konsumenci pozbawieni przewidzianych prawem informacji dotyczących punktów </w:t>
      </w:r>
      <w:r w:rsidRPr="0068058E">
        <w:rPr>
          <w:rFonts w:ascii="Arial" w:hAnsi="Arial" w:cs="Arial"/>
          <w:szCs w:val="28"/>
        </w:rPr>
        <w:lastRenderedPageBreak/>
        <w:t>zbierania zużytego sprzętu mogli nie mieć świadomości o istnieniu tychże punktów i niezgodnie z przepisami prawa rozporządzać odpadami.</w:t>
      </w:r>
    </w:p>
    <w:p w14:paraId="0F8D1752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b/>
          <w:bCs/>
          <w:szCs w:val="28"/>
        </w:rPr>
        <w:t>Rodzaj i zakres naruszenia</w:t>
      </w:r>
      <w:r w:rsidRPr="0068058E">
        <w:rPr>
          <w:rFonts w:ascii="Arial" w:hAnsi="Arial" w:cs="Arial"/>
          <w:szCs w:val="28"/>
        </w:rPr>
        <w:t xml:space="preserve"> zakwalifikować należy jako naruszenie wymagań istotne z punktu widzenia przepisów ustawy. Z kolei </w:t>
      </w:r>
      <w:r w:rsidRPr="0068058E">
        <w:rPr>
          <w:rFonts w:ascii="Arial" w:hAnsi="Arial" w:cs="Arial"/>
          <w:b/>
          <w:bCs/>
          <w:szCs w:val="28"/>
        </w:rPr>
        <w:t>okres trwania naruszenia</w:t>
      </w:r>
      <w:r w:rsidRPr="0068058E">
        <w:rPr>
          <w:rFonts w:ascii="Arial" w:hAnsi="Arial" w:cs="Arial"/>
          <w:szCs w:val="28"/>
        </w:rPr>
        <w:t xml:space="preserve"> nie jest możliwy do ustalenia, z uwagi na fakt pierwszej kontroli Inspekcji Handlowej u kontrolowanego przedsiębiorcy w zakresie wskazanym w upoważnieniu do przeprowadzenia kontroli. Niemniej jednak, na podstawie danych zawartych w Centralnej Informacji Krajowego Rejestru Sądowego, przedsiębiorca do tego rejestru wpisany został dnia 19 marca 2002 r. po przekształceniu uchwałą z dnia 1 grudnia 2001 r. spółki cywilnej (w formie której wcześniej działał) w spółkę jawną. Ustawa z kolei obowiązuje od 1 stycznia 2016 r. Przy ocenie </w:t>
      </w:r>
      <w:r w:rsidRPr="0068058E">
        <w:rPr>
          <w:rFonts w:ascii="Arial" w:hAnsi="Arial" w:cs="Arial"/>
          <w:b/>
          <w:bCs/>
          <w:szCs w:val="28"/>
        </w:rPr>
        <w:t>dotychczasowej działalności gospodarczej</w:t>
      </w:r>
      <w:r w:rsidRPr="0068058E">
        <w:rPr>
          <w:rFonts w:ascii="Arial" w:hAnsi="Arial" w:cs="Arial"/>
          <w:szCs w:val="28"/>
        </w:rPr>
        <w:t xml:space="preserve"> przedsiębiorcy wzięto pod uwagę okoliczność, że strona nie była wcześniej karana przez Podkarpackiego Wojewódzkiego Inspektora Inspekcji Handlowej za naruszenie przepisów ustawy.</w:t>
      </w:r>
    </w:p>
    <w:p w14:paraId="32C45D70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Mając na uwadze powyższe, organ ustalił wysokość kary na kwotę </w:t>
      </w:r>
      <w:r w:rsidRPr="0068058E">
        <w:rPr>
          <w:rFonts w:ascii="Arial" w:hAnsi="Arial" w:cs="Arial"/>
          <w:b/>
          <w:szCs w:val="28"/>
        </w:rPr>
        <w:t xml:space="preserve">5000 zł </w:t>
      </w:r>
      <w:r w:rsidRPr="0068058E">
        <w:rPr>
          <w:rFonts w:ascii="Arial" w:hAnsi="Arial" w:cs="Arial"/>
          <w:szCs w:val="28"/>
        </w:rPr>
        <w:t>tj. w najniższej możliwej wysokości.</w:t>
      </w:r>
    </w:p>
    <w:p w14:paraId="32415174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Celem ustawodawcy, przy tworzeniu niniejszych przepisów, było ułatwienie użytkownikom sprzętu pozbycia się w prawidłowy sposób odpadów w postaci zużytego sprzętu elektronicznego i elektrycznego, a więc umożliwienie im dostępu do informacji, gdzie i na jakich zasadach mogą te odpady pozostawić. W związku z tym przyjąć należy, że każdy dystrybutor sprzętu elektrycznego i elektronicznego przeznaczonego dla gospodarstw domowych winien w widocznym miejscu w punkcie sprzedaży sprzętu elektrycznego i elektronicznego umieszczać wymagane informacje, m.in. w zakresie wskazanym w art. 39 pkt 2 ustawy, a dotyczącym informowania o punktach zbierania zużytego sprzętu elektrycznego i elektronicznego. Daje to możliwość jak największego odzysku i recyklingu zużytego sprzętu elektrycznego i elektronicznego (w sprzęcie tym ponadto znajdują się substancje niebezpieczne), a co za tym idzie ochrony środowiska naturalnego i zdrowia ludzi.</w:t>
      </w:r>
    </w:p>
    <w:p w14:paraId="0EDE98B9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Czynności kontrolne przeprowadzone w sklepie należącym kontrolowanej spółki tj. EJMAX Spółka Jawna E. Bogusz i Wspólnicy jednoznacznie potwierdziły, iż przedsiębiorca nie wykonał obowiązku wynikającego z art. 39 pkt 2 ustawy poprzez nieumieszczenie informacji o punktach zbierania zużytego sprzętu.</w:t>
      </w:r>
    </w:p>
    <w:p w14:paraId="0C95B2EC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lastRenderedPageBreak/>
        <w:t>Przesłanki dotyczące administracyjnej kary pieniężnej w niniejszym postępowaniu zostały uregulowane w rozdziale 14 począwszy od art. 91 ustawy. Zgodnie z treścią art. 93 ust. 4 ww. ustawy, jeżeli podmiot podlegający ukaraniu przedstawi organowi dowody i okoliczności wskazujące, że ten dochował należytej staranności i uczynił wszystko, czego można od niego rozsądnie oczekiwać, aby do naruszenia nie doszło lub że nie miał żadnego wpływu na powstanie naruszenia, a naruszenie to nastąpiło wskutek zdarzeń i okoliczności, których podmiot nie mógł przewidzieć, organ nie wszczyna postępowania w sprawie nałożenia administracyjnej kary pieniężnej wobec tego podmiotu, a postępowanie wszczęte w tej sprawie umarza.</w:t>
      </w:r>
    </w:p>
    <w:p w14:paraId="65FDC6AC" w14:textId="77777777" w:rsidR="0068058E" w:rsidRPr="0068058E" w:rsidRDefault="0068058E" w:rsidP="0068058E">
      <w:pPr>
        <w:pStyle w:val="Nagwek3"/>
        <w:spacing w:before="120"/>
        <w:rPr>
          <w:bCs w:val="0"/>
          <w:szCs w:val="28"/>
        </w:rPr>
      </w:pPr>
      <w:r w:rsidRPr="0068058E">
        <w:rPr>
          <w:bCs w:val="0"/>
          <w:szCs w:val="28"/>
        </w:rPr>
        <w:t xml:space="preserve">Organ stwierdził, że strona nie spełniła wskazanych w tym przepisie przesłanek choć jako podmiot profesjonalny winna wiedzieć jakie ciążą na niej obowiązki informacyjne. Jednak przez własne zaniechanie doprowadziła do sytuacji jednoznacznie wskazującej, iż wymaganych informacji w dniu podjęcia czynności w placówce nie stwierdzono. W trakcie kontroli oświadczono, iż brak wymaganych informacji spowodowany był niewiedzą o konieczności umieszczenia takiej informacji w sklepie oraz faktem, że na stronie Urzędu Miejskiego widnieje taka informacja. W odniesieniu do powyższego organ pragnie wskazać, iż przedsiębiorca działający na rynku w formie spółki jawnej już od około 20 lat (wcześniej również w formie spółki cywilnej) winien być świadomy obowiązujących przepisów dla tego typu prowadzonej działalności, a fakt niewiedzy nie może być tutaj przez organ uznany, chociażby z uwagi na fakt, iż pozostałe wymagane przepisami informacje zostały przez przedsiębiorcę umieszczone w punkcie sprzedaży. Z kolei wskazanie, iż informacja dot. Punktu Selektywnej Zbiórki Odpadów umieszczona została na stronie Urzędu Miejskiego nie stanowi podstawy do zwolnienia kontrolowanego przedsiębiorcy z obowiązku wynikającego z art. 39 pkt 2 ustawy. Przepis ten jednoznacznie wskazuje, iż to dystrybutor – którym jest kontrolowany przedsiębiorca – obowiązany jest do umieszczenia w widocznym miejscu w punkcie sprzedaży informacji o punktach zbierania zużytego sprzętu, gdyż to on jest podmiotem udostępniającym taki sprzęt i to konkretnie na niego ustawodawca nakłada taki obowiązek. Dystrybutorem, a zatem podmiotem obowiązanym, nie jest Urząd Miejski, a właśnie kontrolowany. </w:t>
      </w:r>
      <w:r w:rsidRPr="0068058E">
        <w:rPr>
          <w:bCs w:val="0"/>
          <w:szCs w:val="28"/>
        </w:rPr>
        <w:lastRenderedPageBreak/>
        <w:t>Również ustne informowanie klientów nie wypełnia obowiązku informacyjnego wskazanego w powyższym artykule.</w:t>
      </w:r>
    </w:p>
    <w:p w14:paraId="53BBA480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Ponadto, podkreślić należy, że czynności kontrolne zostały wszczęte po uprzednim zawiadomieniu o zamiarze wszczęcia kontroli, tak więc, przedsiębiorca miał czas i możliwość przygotować się i umieścić wymagane informacje, które umieszczono w trakcie kontroli, co świadczy że wykonanie tej czynności nie było związane z nadmiernymi trudnościami. Od momentu doręczenia zawiadomienia do wszczęcia kontroli upłynęło 14 dni.</w:t>
      </w:r>
    </w:p>
    <w:p w14:paraId="60A2B18B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Zatem stwierdzić należy, iż strona nie spełniła żadnej przesłanki, która mogłaby powodować umorzenia wszczętego postępowania administracyjnego.</w:t>
      </w:r>
    </w:p>
    <w:p w14:paraId="5C8202AD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W kwestii wysokości kary, należy zauważyć, iż ustawodawca, za naruszenie obowiązku informacyjnego, o którym wyżej mowa, przewiduje karę od 5000 zł do 500 000 zł. Zatem nałożona przez Podkarpackiego Wojewódzkiego Inspektora Inspekcji Handlowej na przedsiębiorcę kara, jest najniższą, jaką przewiduje ustawa. </w:t>
      </w:r>
    </w:p>
    <w:p w14:paraId="02AD973F" w14:textId="77777777" w:rsidR="0068058E" w:rsidRPr="0068058E" w:rsidRDefault="0068058E" w:rsidP="009B14A2">
      <w:pPr>
        <w:pStyle w:val="Nagwek3"/>
        <w:spacing w:before="120"/>
        <w:rPr>
          <w:bCs w:val="0"/>
          <w:szCs w:val="28"/>
        </w:rPr>
      </w:pPr>
      <w:r w:rsidRPr="0068058E">
        <w:rPr>
          <w:bCs w:val="0"/>
          <w:szCs w:val="28"/>
        </w:rPr>
        <w:t>Podkarpacki Wojewódzki Inspektor Inspekcji Handlowej wydając decyzję oparł się na następujących dowodach: protokole kontroli DP.8361.94.2021 z dnia 4 października 2021 r. wraz z załącznikami, w szczególności z oświadczeniem wspólnika w kontrolowanej spółce oraz zawiadomieniu o wszczęciu postępowania z urzędu z dnia 17 stycznia 2022 r.</w:t>
      </w:r>
    </w:p>
    <w:p w14:paraId="588FEAAE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Tym samym Podkarpacki Wojewódzki Inspektor Inspekcji Handlowej uznał na podstawie zgromadzonego w sprawie materiału dowodowego za udowodnione, iż w dniu 4 października 2021 r. przedsiębiorca: EJMAX Spółka Jawna E. Bogusz i Wspólnicy nie umieścił w widocznym miejscu w punkcie sprzedaży mieszczącym się przy ul. </w:t>
      </w:r>
      <w:r w:rsidRPr="0068058E">
        <w:rPr>
          <w:rFonts w:ascii="Arial" w:hAnsi="Arial" w:cs="Arial"/>
          <w:b/>
          <w:bCs/>
          <w:szCs w:val="28"/>
        </w:rPr>
        <w:t>(dane zanonimizowane)</w:t>
      </w:r>
      <w:r w:rsidRPr="0068058E">
        <w:rPr>
          <w:rFonts w:ascii="Arial" w:hAnsi="Arial" w:cs="Arial"/>
          <w:szCs w:val="28"/>
        </w:rPr>
        <w:t xml:space="preserve"> w Lubaczowie informacji w zakresie, o którym mowa w art. 39 pkt 2 ustawy.</w:t>
      </w:r>
    </w:p>
    <w:p w14:paraId="242B0828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Wskazać raz jeszcze należy, że nie ma znaczenia fakt umieszczenia stosownych informacji jeszcze w trakcie trwania kontroli. Istotny z punktu widzenia zastosowania przepisów ustawy jest wyłącznie fakt, iż w momencie podjęcia zapowiedzianej wcześniej kontroli ww. informacje nie były dostępne dla konsumentów. </w:t>
      </w:r>
    </w:p>
    <w:p w14:paraId="21E4A313" w14:textId="7C0FE02E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Podkarpacki Wojewódzki Inspektor Inspekcji Handlowej uznał, iż analiza przedstawionych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 xml:space="preserve">w sprawie okoliczności uzasadnia wymierzenie przedsiębiorcy kary pieniężnej. Biorąc pod uwagę wszystkie fakty oraz uwzględniając przesłanki, o </w:t>
      </w:r>
      <w:r w:rsidRPr="0068058E">
        <w:rPr>
          <w:rFonts w:ascii="Arial" w:hAnsi="Arial" w:cs="Arial"/>
          <w:szCs w:val="28"/>
        </w:rPr>
        <w:lastRenderedPageBreak/>
        <w:t xml:space="preserve">których mowa w art. 93 ust. 3 ustawy organ nałożył karę pieniężną w wysokości najniższej z możliwych tj. </w:t>
      </w:r>
      <w:r w:rsidRPr="0068058E">
        <w:rPr>
          <w:rFonts w:ascii="Arial" w:hAnsi="Arial" w:cs="Arial"/>
          <w:b/>
          <w:bCs/>
          <w:szCs w:val="28"/>
        </w:rPr>
        <w:t>5000 zł</w:t>
      </w:r>
      <w:r w:rsidRPr="0068058E">
        <w:rPr>
          <w:rFonts w:ascii="Arial" w:hAnsi="Arial" w:cs="Arial"/>
          <w:szCs w:val="28"/>
        </w:rPr>
        <w:t xml:space="preserve">. </w:t>
      </w:r>
    </w:p>
    <w:p w14:paraId="2EADB62D" w14:textId="25609F09" w:rsidR="0068058E" w:rsidRPr="0068058E" w:rsidRDefault="0068058E" w:rsidP="0068058E">
      <w:p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Na podstawie art. 93 ust. 7 ustawy o zużytym sprzęcie elektrycznym i elektronicznym należności z tytułu administracyjnych kar pieniężnych stanowią dochód budżetu państwa. Kwotę </w:t>
      </w:r>
      <w:r w:rsidRPr="0068058E">
        <w:rPr>
          <w:rFonts w:ascii="Arial" w:hAnsi="Arial" w:cs="Arial"/>
          <w:b/>
          <w:bCs/>
          <w:szCs w:val="28"/>
        </w:rPr>
        <w:t>5000 zł</w:t>
      </w:r>
      <w:r w:rsidRPr="0068058E">
        <w:rPr>
          <w:rFonts w:ascii="Arial" w:hAnsi="Arial" w:cs="Arial"/>
          <w:szCs w:val="28"/>
        </w:rPr>
        <w:t xml:space="preserve"> strona winna wpłacić na rachunek bankowy Wojewódzkiego Inspektoratu Inspekcji Handlowej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w Rzeszowie, ul. 8-go Marca 5, 35-959 Rzeszów – numer konta: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b/>
          <w:szCs w:val="28"/>
        </w:rPr>
        <w:t>NBP O/O w Rzeszowie 67 1010 1528 0016 5822 3100 0000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 xml:space="preserve">w terminie 14 dni od dnia, w którym decyzja o wymierzeniu administracyjnej kary pieniężnej stała się ostateczna. Kwota niezapłacona w terminie staje się zaległością podatkową w rozumieniu art. 51 § 1 ustawy z dnia 29 sierpnia 1997 r. Ordynacja podatkowa (tekst jednolity: Dz. U. 2021 r., poz. 1540 z </w:t>
      </w:r>
      <w:proofErr w:type="spellStart"/>
      <w:r w:rsidRPr="0068058E">
        <w:rPr>
          <w:rFonts w:ascii="Arial" w:hAnsi="Arial" w:cs="Arial"/>
          <w:szCs w:val="28"/>
        </w:rPr>
        <w:t>późn</w:t>
      </w:r>
      <w:proofErr w:type="spellEnd"/>
      <w:r w:rsidRPr="0068058E">
        <w:rPr>
          <w:rFonts w:ascii="Arial" w:hAnsi="Arial" w:cs="Arial"/>
          <w:szCs w:val="28"/>
        </w:rPr>
        <w:t>. zm.), od której naliczane są odsetki za zwłokę zgodnie z art. 53 § 1 ww. ustawy.</w:t>
      </w:r>
    </w:p>
    <w:p w14:paraId="00208522" w14:textId="77777777" w:rsidR="0068058E" w:rsidRPr="0068058E" w:rsidRDefault="0068058E" w:rsidP="009B14A2">
      <w:pPr>
        <w:pStyle w:val="Nagwek3"/>
        <w:spacing w:before="120"/>
        <w:rPr>
          <w:b/>
          <w:bCs w:val="0"/>
          <w:szCs w:val="28"/>
        </w:rPr>
      </w:pPr>
      <w:r w:rsidRPr="0068058E">
        <w:rPr>
          <w:b/>
          <w:bCs w:val="0"/>
          <w:szCs w:val="28"/>
        </w:rPr>
        <w:t>Pouczenie:</w:t>
      </w:r>
    </w:p>
    <w:p w14:paraId="7AA02943" w14:textId="77777777" w:rsidR="0068058E" w:rsidRPr="0068058E" w:rsidRDefault="0068058E">
      <w:pPr>
        <w:numPr>
          <w:ilvl w:val="0"/>
          <w:numId w:val="3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6D5BED38" w14:textId="77777777" w:rsidR="0068058E" w:rsidRPr="0068058E" w:rsidRDefault="0068058E">
      <w:pPr>
        <w:numPr>
          <w:ilvl w:val="0"/>
          <w:numId w:val="3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Zgodnie z art. 127a Kodeksu postepowania administracyjnego w trakcie biegu terminu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7AA86B8F" w14:textId="36C50A3F" w:rsidR="0068058E" w:rsidRPr="0068058E" w:rsidRDefault="0068058E">
      <w:pPr>
        <w:numPr>
          <w:ilvl w:val="0"/>
          <w:numId w:val="3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 xml:space="preserve">Zgodnie z art. 94 ustawy o zużytym sprzęcie elektrycznym i elektronicznym w sprawach dotyczących administracyjnych kar pieniężnych stosuje się odpowiednio przepisy działu III ustawy z dnia 29 sierpnia 1997 r. – Ordynacja podatkowa (tekst jednolity: Dz. U. 2021 r. poz. 1540 z </w:t>
      </w:r>
      <w:proofErr w:type="spellStart"/>
      <w:r w:rsidRPr="0068058E">
        <w:rPr>
          <w:rFonts w:ascii="Arial" w:hAnsi="Arial" w:cs="Arial"/>
          <w:szCs w:val="28"/>
        </w:rPr>
        <w:t>późn</w:t>
      </w:r>
      <w:proofErr w:type="spellEnd"/>
      <w:r w:rsidRPr="0068058E">
        <w:rPr>
          <w:rFonts w:ascii="Arial" w:hAnsi="Arial" w:cs="Arial"/>
          <w:szCs w:val="28"/>
        </w:rPr>
        <w:t>. zm.), z tym</w:t>
      </w:r>
      <w:r w:rsidR="009B14A2" w:rsidRPr="009B14A2">
        <w:rPr>
          <w:rFonts w:ascii="Arial" w:hAnsi="Arial" w:cs="Arial"/>
          <w:szCs w:val="28"/>
        </w:rPr>
        <w:t xml:space="preserve"> </w:t>
      </w:r>
      <w:r w:rsidRPr="0068058E">
        <w:rPr>
          <w:rFonts w:ascii="Arial" w:hAnsi="Arial" w:cs="Arial"/>
          <w:szCs w:val="28"/>
        </w:rPr>
        <w:t>że uprawnienia organów podatkowych przysługują odpowiednio wojewódzkiemu inspektorowi ochrony środowiska oraz wojewódzkiemu inspektorowi inspekcji handlowej.</w:t>
      </w:r>
    </w:p>
    <w:p w14:paraId="2A3354A5" w14:textId="77777777" w:rsidR="0068058E" w:rsidRPr="0068058E" w:rsidRDefault="0068058E" w:rsidP="0068058E">
      <w:pPr>
        <w:spacing w:before="120" w:line="360" w:lineRule="auto"/>
        <w:rPr>
          <w:rFonts w:ascii="Arial" w:hAnsi="Arial" w:cs="Arial"/>
          <w:b/>
          <w:szCs w:val="28"/>
        </w:rPr>
      </w:pPr>
      <w:r w:rsidRPr="0068058E">
        <w:rPr>
          <w:rFonts w:ascii="Arial" w:hAnsi="Arial" w:cs="Arial"/>
          <w:b/>
          <w:szCs w:val="28"/>
        </w:rPr>
        <w:lastRenderedPageBreak/>
        <w:t>Otrzymują:</w:t>
      </w:r>
    </w:p>
    <w:p w14:paraId="0E4315FC" w14:textId="77777777" w:rsidR="0068058E" w:rsidRPr="0068058E" w:rsidRDefault="0068058E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Adresat;</w:t>
      </w:r>
    </w:p>
    <w:p w14:paraId="3EAF286F" w14:textId="77777777" w:rsidR="0068058E" w:rsidRPr="0068058E" w:rsidRDefault="0068058E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Wydz. BA;</w:t>
      </w:r>
    </w:p>
    <w:p w14:paraId="60AEF387" w14:textId="77777777" w:rsidR="0068058E" w:rsidRPr="0068058E" w:rsidRDefault="0068058E">
      <w:pPr>
        <w:numPr>
          <w:ilvl w:val="0"/>
          <w:numId w:val="1"/>
        </w:numPr>
        <w:spacing w:before="120" w:line="360" w:lineRule="auto"/>
        <w:rPr>
          <w:rFonts w:ascii="Arial" w:hAnsi="Arial" w:cs="Arial"/>
          <w:szCs w:val="28"/>
        </w:rPr>
      </w:pPr>
      <w:r w:rsidRPr="0068058E">
        <w:rPr>
          <w:rFonts w:ascii="Arial" w:hAnsi="Arial" w:cs="Arial"/>
          <w:szCs w:val="28"/>
        </w:rPr>
        <w:t>Aa (DP/P.W., po-</w:t>
      </w:r>
      <w:proofErr w:type="spellStart"/>
      <w:r w:rsidRPr="0068058E">
        <w:rPr>
          <w:rFonts w:ascii="Arial" w:hAnsi="Arial" w:cs="Arial"/>
          <w:szCs w:val="28"/>
        </w:rPr>
        <w:t>m.o</w:t>
      </w:r>
      <w:proofErr w:type="spellEnd"/>
      <w:r w:rsidRPr="0068058E">
        <w:rPr>
          <w:rFonts w:ascii="Arial" w:hAnsi="Arial" w:cs="Arial"/>
          <w:szCs w:val="28"/>
        </w:rPr>
        <w:t>.).</w:t>
      </w:r>
    </w:p>
    <w:p w14:paraId="45A6F4A7" w14:textId="082D4838" w:rsidR="003B7C7E" w:rsidRPr="009B14A2" w:rsidRDefault="003B7C7E" w:rsidP="003B7C7E">
      <w:pPr>
        <w:spacing w:before="240" w:line="360" w:lineRule="auto"/>
        <w:rPr>
          <w:rFonts w:ascii="Arial" w:hAnsi="Arial" w:cs="Arial"/>
          <w:szCs w:val="24"/>
        </w:rPr>
      </w:pPr>
      <w:r w:rsidRPr="009B14A2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9B14A2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84F1" w14:textId="77777777" w:rsidR="003F6D20" w:rsidRDefault="003F6D20">
      <w:r>
        <w:separator/>
      </w:r>
    </w:p>
  </w:endnote>
  <w:endnote w:type="continuationSeparator" w:id="0">
    <w:p w14:paraId="5CAED62B" w14:textId="77777777" w:rsidR="003F6D20" w:rsidRDefault="003F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0E6D" w14:textId="77777777" w:rsidR="003F6D20" w:rsidRDefault="003F6D20">
      <w:r>
        <w:separator/>
      </w:r>
    </w:p>
  </w:footnote>
  <w:footnote w:type="continuationSeparator" w:id="0">
    <w:p w14:paraId="033DB6BE" w14:textId="77777777" w:rsidR="003F6D20" w:rsidRDefault="003F6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5D52209"/>
    <w:multiLevelType w:val="hybridMultilevel"/>
    <w:tmpl w:val="72AEEA4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DA6032"/>
    <w:multiLevelType w:val="hybridMultilevel"/>
    <w:tmpl w:val="A3BA9EE2"/>
    <w:lvl w:ilvl="0" w:tplc="7542D19A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11568581">
    <w:abstractNumId w:val="3"/>
  </w:num>
  <w:num w:numId="2" w16cid:durableId="752245537">
    <w:abstractNumId w:val="2"/>
  </w:num>
  <w:num w:numId="3" w16cid:durableId="14679636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40E3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37FD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4F0A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4C0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6727D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0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3C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058E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6C19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151C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14A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1F5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2854</Words>
  <Characters>17130</Characters>
  <Application>Microsoft Office Word</Application>
  <DocSecurity>2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DT.8361.85.2021 z 8 kwietnia 2022 r.</vt:lpstr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DP.8361.94.2021 z 17 lutego 2022 r.</dc:title>
  <dc:creator/>
  <cp:keywords>decyzja;zużyty sprzęt elektryczny i elektroniczny</cp:keywords>
  <cp:lastModifiedBy/>
  <cp:revision>1</cp:revision>
  <dcterms:created xsi:type="dcterms:W3CDTF">2022-09-06T09:53:00Z</dcterms:created>
  <dcterms:modified xsi:type="dcterms:W3CDTF">2022-09-06T09:53:00Z</dcterms:modified>
</cp:coreProperties>
</file>