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03C10CA9" w:rsidR="0089209F" w:rsidRPr="00FE5EA4" w:rsidRDefault="0089209F" w:rsidP="0089209F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FE5EA4">
        <w:rPr>
          <w:rFonts w:ascii="Arial" w:hAnsi="Arial" w:cs="Arial"/>
        </w:rPr>
        <w:t xml:space="preserve">Rzeszów, </w:t>
      </w:r>
      <w:r w:rsidR="00A85FA0" w:rsidRPr="00FE5EA4">
        <w:rPr>
          <w:rFonts w:ascii="Arial" w:hAnsi="Arial" w:cs="Arial"/>
          <w:lang w:val="pl-PL"/>
        </w:rPr>
        <w:t>10</w:t>
      </w:r>
      <w:r w:rsidR="00107EAC" w:rsidRPr="00FE5EA4">
        <w:rPr>
          <w:rFonts w:ascii="Arial" w:hAnsi="Arial" w:cs="Arial"/>
          <w:lang w:val="pl-PL"/>
        </w:rPr>
        <w:t xml:space="preserve"> </w:t>
      </w:r>
      <w:r w:rsidR="00A85FA0" w:rsidRPr="00FE5EA4">
        <w:rPr>
          <w:rFonts w:ascii="Arial" w:hAnsi="Arial" w:cs="Arial"/>
          <w:lang w:val="pl-PL"/>
        </w:rPr>
        <w:t xml:space="preserve">stycznia </w:t>
      </w:r>
      <w:r w:rsidRPr="00FE5EA4">
        <w:rPr>
          <w:rFonts w:ascii="Arial" w:hAnsi="Arial" w:cs="Arial"/>
        </w:rPr>
        <w:t>2022 r.</w:t>
      </w:r>
    </w:p>
    <w:p w14:paraId="067C078B" w14:textId="3F7F8EBD" w:rsidR="0089209F" w:rsidRPr="00FE5EA4" w:rsidRDefault="00A85FA0" w:rsidP="0089209F">
      <w:pPr>
        <w:pStyle w:val="Nagwek"/>
        <w:spacing w:line="360" w:lineRule="auto"/>
        <w:rPr>
          <w:rFonts w:ascii="Arial" w:hAnsi="Arial" w:cs="Arial"/>
        </w:rPr>
      </w:pPr>
      <w:r w:rsidRPr="00FE5EA4">
        <w:rPr>
          <w:rFonts w:ascii="Arial" w:hAnsi="Arial" w:cs="Arial"/>
          <w:lang w:val="pl-PL"/>
        </w:rPr>
        <w:t>KH.8361.84.2021</w:t>
      </w:r>
    </w:p>
    <w:bookmarkEnd w:id="0"/>
    <w:p w14:paraId="65E9E06F" w14:textId="2680ADD3" w:rsidR="00A96E78" w:rsidRPr="00FE5EA4" w:rsidRDefault="00187AEB" w:rsidP="00187AEB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FE5EA4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02535201" w:rsidR="007F1BE6" w:rsidRPr="00FE5EA4" w:rsidRDefault="00107EAC" w:rsidP="00187AEB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  <w:lang w:val="pl-PL"/>
        </w:rPr>
        <w:t xml:space="preserve">Na </w:t>
      </w:r>
      <w:r w:rsidR="00A85FA0" w:rsidRPr="00FE5EA4">
        <w:rPr>
          <w:rFonts w:ascii="Arial" w:hAnsi="Arial" w:cs="Arial"/>
          <w:szCs w:val="24"/>
          <w:lang w:val="pl-PL"/>
        </w:rPr>
        <w:t>podstawie art. 91 pkt 26 lit d ustawy z dnia 11 września 2015 r. o zużytym sprzęcie elektrycznym i elektronicznym (tekst jednolity: Dz. U. z 2020 r., poz. 1893 ze zm.) – zwanej dalej ustawą oraz art. 104 § 1 ustawy z dnia 14 czerwca 1960 r. – Kodeks postępowania administracyjnego (tekst jednolity: Dz. U. z 2021 r., poz. 753 ze zm.), po przeprowadzeniu postępowania administracyjnego wszczętego z urzędu</w:t>
      </w:r>
      <w:r w:rsidR="00065686" w:rsidRPr="00FE5EA4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FE5EA4" w:rsidRDefault="00774EB6" w:rsidP="00187AEB">
      <w:pPr>
        <w:pStyle w:val="Nagwek2"/>
      </w:pPr>
      <w:r w:rsidRPr="00FE5EA4">
        <w:t>Podkarpacki Wojewódzki Inspektor Inspekcji Handlowej wymierza</w:t>
      </w:r>
    </w:p>
    <w:p w14:paraId="7E424EE6" w14:textId="187B51AA" w:rsidR="00A85FA0" w:rsidRPr="00FE5EA4" w:rsidRDefault="00774EB6" w:rsidP="00A85FA0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FE5EA4">
        <w:rPr>
          <w:rFonts w:ascii="Arial" w:hAnsi="Arial" w:cs="Arial"/>
          <w:szCs w:val="24"/>
          <w:lang w:val="pl-PL"/>
        </w:rPr>
        <w:t xml:space="preserve">przedsiębiorcy – </w:t>
      </w:r>
      <w:bookmarkStart w:id="2" w:name="_Hlk93909640"/>
      <w:r w:rsidR="00A85FA0" w:rsidRPr="00FE5EA4">
        <w:rPr>
          <w:rFonts w:ascii="Arial" w:hAnsi="Arial" w:cs="Arial"/>
          <w:b/>
          <w:bCs/>
          <w:szCs w:val="24"/>
          <w:lang w:val="pl-PL"/>
        </w:rPr>
        <w:t xml:space="preserve">NEONET Spółka Akcyjna, </w:t>
      </w:r>
      <w:r w:rsidR="00FE5EA4" w:rsidRPr="00FE5EA4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A85FA0" w:rsidRPr="00FE5EA4">
        <w:rPr>
          <w:rFonts w:ascii="Arial" w:hAnsi="Arial" w:cs="Arial"/>
          <w:b/>
          <w:bCs/>
          <w:szCs w:val="24"/>
          <w:lang w:val="pl-PL"/>
        </w:rPr>
        <w:t xml:space="preserve"> Wrocław - </w:t>
      </w:r>
      <w:r w:rsidR="00A85FA0" w:rsidRPr="00FE5EA4">
        <w:rPr>
          <w:rFonts w:ascii="Arial" w:hAnsi="Arial" w:cs="Arial"/>
          <w:szCs w:val="24"/>
          <w:lang w:val="pl-PL"/>
        </w:rPr>
        <w:t>karę pieniężną w wysokości</w:t>
      </w:r>
      <w:r w:rsidR="00A85FA0" w:rsidRPr="00FE5EA4">
        <w:rPr>
          <w:rFonts w:ascii="Arial" w:hAnsi="Arial" w:cs="Arial"/>
          <w:b/>
          <w:bCs/>
          <w:szCs w:val="24"/>
          <w:lang w:val="pl-PL"/>
        </w:rPr>
        <w:t xml:space="preserve"> 5 000 zł (słownie: pięć tysięcy złotych) </w:t>
      </w:r>
      <w:r w:rsidR="00A85FA0" w:rsidRPr="00FE5EA4">
        <w:rPr>
          <w:rFonts w:ascii="Arial" w:hAnsi="Arial" w:cs="Arial"/>
          <w:szCs w:val="24"/>
          <w:lang w:val="pl-PL"/>
        </w:rPr>
        <w:t>z tytułu niedopełnienia w należącym do ww. przedsiębiorcy sklepie</w:t>
      </w:r>
      <w:r w:rsidR="00A85FA0" w:rsidRPr="00FE5EA4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FE5EA4" w:rsidRPr="00FE5EA4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A85FA0" w:rsidRPr="00FE5EA4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A85FA0" w:rsidRPr="00FE5EA4">
        <w:rPr>
          <w:rFonts w:ascii="Arial" w:hAnsi="Arial" w:cs="Arial"/>
          <w:szCs w:val="24"/>
          <w:lang w:val="pl-PL"/>
        </w:rPr>
        <w:t>ul.</w:t>
      </w:r>
      <w:r w:rsidR="00A85FA0" w:rsidRPr="00FE5EA4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FE5EA4" w:rsidRPr="00FE5EA4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A85FA0" w:rsidRPr="00FE5EA4">
        <w:rPr>
          <w:rFonts w:ascii="Arial" w:hAnsi="Arial" w:cs="Arial"/>
          <w:b/>
          <w:bCs/>
          <w:szCs w:val="24"/>
          <w:lang w:val="pl-PL"/>
        </w:rPr>
        <w:t xml:space="preserve"> </w:t>
      </w:r>
      <w:r w:rsidR="00A85FA0" w:rsidRPr="00FE5EA4">
        <w:rPr>
          <w:rFonts w:ascii="Arial" w:hAnsi="Arial" w:cs="Arial"/>
          <w:szCs w:val="24"/>
          <w:lang w:val="pl-PL"/>
        </w:rPr>
        <w:t xml:space="preserve">Dębica wynikającego z art. 39 pkt 3 ustawy obowiązku w zakresie udostępnienia na rynku sprzętu </w:t>
      </w:r>
      <w:r w:rsidR="00A85FA0" w:rsidRPr="00FE5EA4">
        <w:rPr>
          <w:rFonts w:ascii="Arial" w:hAnsi="Arial" w:cs="Arial"/>
          <w:b/>
          <w:bCs/>
          <w:szCs w:val="24"/>
          <w:lang w:val="pl-PL"/>
        </w:rPr>
        <w:t>przeznaczonego dla gospodarstw domowych wraz z dołączoną do niego informacją wprowadzającego sprzęt wynikającą z art. 13 ust. 1 pkt 1 i 2 ustawy, to jest o:</w:t>
      </w:r>
    </w:p>
    <w:p w14:paraId="50D9CB0F" w14:textId="37B84A2E" w:rsidR="00A85FA0" w:rsidRPr="00A85FA0" w:rsidRDefault="00A85FA0" w:rsidP="00A85FA0">
      <w:pPr>
        <w:pStyle w:val="Nagwek"/>
        <w:numPr>
          <w:ilvl w:val="0"/>
          <w:numId w:val="43"/>
        </w:numPr>
        <w:tabs>
          <w:tab w:val="left" w:pos="708"/>
        </w:tabs>
        <w:spacing w:line="360" w:lineRule="auto"/>
        <w:rPr>
          <w:rFonts w:ascii="Arial" w:hAnsi="Arial" w:cs="Arial"/>
          <w:szCs w:val="24"/>
          <w:lang w:val="pl-PL"/>
        </w:rPr>
      </w:pPr>
      <w:r w:rsidRPr="00A85FA0">
        <w:rPr>
          <w:rFonts w:ascii="Arial" w:hAnsi="Arial" w:cs="Arial"/>
          <w:szCs w:val="24"/>
          <w:lang w:val="pl-PL"/>
        </w:rPr>
        <w:t>zakazie umieszczania zużytego sprzętu łącznie z innym odpadami wraz</w:t>
      </w:r>
      <w:r w:rsidRPr="00FE5EA4">
        <w:rPr>
          <w:rFonts w:ascii="Arial" w:hAnsi="Arial" w:cs="Arial"/>
          <w:szCs w:val="24"/>
          <w:lang w:val="pl-PL"/>
        </w:rPr>
        <w:t xml:space="preserve"> </w:t>
      </w:r>
      <w:r w:rsidRPr="00A85FA0">
        <w:rPr>
          <w:rFonts w:ascii="Arial" w:hAnsi="Arial" w:cs="Arial"/>
          <w:szCs w:val="24"/>
          <w:lang w:val="pl-PL"/>
        </w:rPr>
        <w:t>z wyjaśnieniem znaczenia oznakowania, o którym mowa w art. 14 ust. 1 ustawy,</w:t>
      </w:r>
    </w:p>
    <w:p w14:paraId="4E4FE1E1" w14:textId="77777777" w:rsidR="00A85FA0" w:rsidRPr="00A85FA0" w:rsidRDefault="00A85FA0" w:rsidP="00A85FA0">
      <w:pPr>
        <w:pStyle w:val="Nagwek"/>
        <w:numPr>
          <w:ilvl w:val="0"/>
          <w:numId w:val="43"/>
        </w:numPr>
        <w:tabs>
          <w:tab w:val="left" w:pos="708"/>
        </w:tabs>
        <w:spacing w:line="360" w:lineRule="auto"/>
        <w:rPr>
          <w:rFonts w:ascii="Arial" w:hAnsi="Arial" w:cs="Arial"/>
          <w:szCs w:val="24"/>
          <w:lang w:val="pl-PL"/>
        </w:rPr>
      </w:pPr>
      <w:r w:rsidRPr="00A85FA0">
        <w:rPr>
          <w:rFonts w:ascii="Arial" w:hAnsi="Arial" w:cs="Arial"/>
          <w:szCs w:val="24"/>
          <w:lang w:val="pl-PL"/>
        </w:rPr>
        <w:t>informacji o potencjalnych skutkach dla środowiska i zdrowia ludzi, wynikających z obecności w sprzęcie niebezpiecznych: substancji, mieszanin oraz części składowych</w:t>
      </w:r>
    </w:p>
    <w:p w14:paraId="2940775C" w14:textId="569D91D2" w:rsidR="00107EAC" w:rsidRPr="00FE5EA4" w:rsidRDefault="00A85FA0" w:rsidP="00A85FA0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A85FA0">
        <w:rPr>
          <w:rFonts w:ascii="Arial" w:hAnsi="Arial" w:cs="Arial"/>
          <w:b/>
          <w:bCs/>
          <w:szCs w:val="24"/>
          <w:lang w:val="pl-PL"/>
        </w:rPr>
        <w:t>w przypadku produktu</w:t>
      </w:r>
      <w:r w:rsidRPr="00FE5EA4">
        <w:rPr>
          <w:rFonts w:ascii="Arial" w:hAnsi="Arial" w:cs="Arial"/>
          <w:b/>
          <w:bCs/>
          <w:szCs w:val="24"/>
          <w:lang w:val="pl-PL"/>
        </w:rPr>
        <w:t xml:space="preserve"> </w:t>
      </w:r>
      <w:r w:rsidRPr="00FE5EA4">
        <w:rPr>
          <w:rFonts w:ascii="Arial" w:hAnsi="Arial" w:cs="Arial"/>
          <w:b/>
          <w:bCs/>
          <w:szCs w:val="24"/>
          <w:lang w:val="pl-PL"/>
        </w:rPr>
        <w:t xml:space="preserve">Czajnik Glass </w:t>
      </w:r>
      <w:proofErr w:type="spellStart"/>
      <w:r w:rsidRPr="00FE5EA4">
        <w:rPr>
          <w:rFonts w:ascii="Arial" w:hAnsi="Arial" w:cs="Arial"/>
          <w:b/>
          <w:bCs/>
          <w:szCs w:val="24"/>
          <w:lang w:val="pl-PL"/>
        </w:rPr>
        <w:t>kettle</w:t>
      </w:r>
      <w:proofErr w:type="spellEnd"/>
      <w:r w:rsidRPr="00FE5EA4">
        <w:rPr>
          <w:rFonts w:ascii="Arial" w:hAnsi="Arial" w:cs="Arial"/>
          <w:b/>
          <w:bCs/>
          <w:szCs w:val="24"/>
          <w:lang w:val="pl-PL"/>
        </w:rPr>
        <w:t xml:space="preserve"> 1,7l; Typ: KI730*; 1850-2200W; CMMF: 8010000473 REF: KI7301132/K80-3919; Dystrybutor </w:t>
      </w:r>
      <w:r w:rsidR="00FE5EA4" w:rsidRPr="00FE5EA4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107EAC" w:rsidRPr="00FE5EA4">
        <w:rPr>
          <w:rFonts w:ascii="Arial" w:hAnsi="Arial" w:cs="Arial"/>
          <w:szCs w:val="24"/>
        </w:rPr>
        <w:t>.</w:t>
      </w:r>
    </w:p>
    <w:bookmarkEnd w:id="2"/>
    <w:p w14:paraId="637F9D98" w14:textId="0891B212" w:rsidR="00D74C22" w:rsidRPr="00FE5EA4" w:rsidRDefault="00B65984" w:rsidP="00FA0E4F">
      <w:pPr>
        <w:pStyle w:val="Nagwek2"/>
      </w:pPr>
      <w:r w:rsidRPr="00FE5EA4">
        <w:t>Uzasadnienie</w:t>
      </w:r>
    </w:p>
    <w:p w14:paraId="39211D7F" w14:textId="2EA2643A" w:rsidR="00A85FA0" w:rsidRPr="00FE5EA4" w:rsidRDefault="00A85FA0" w:rsidP="00A85FA0">
      <w:pPr>
        <w:pStyle w:val="Nagwek"/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Na podstawie art. 3 ust. 1 pkt 2a ustawy z dnia 15 grudnia 2000 r. o Inspekcji Handlowej (tekst jednolity: Dz. U. z 2020 r., poz. 1706) oraz art. 87 ustawy – inspektorzy</w:t>
      </w:r>
      <w:r w:rsidRPr="00FE5EA4">
        <w:rPr>
          <w:rFonts w:ascii="Arial" w:hAnsi="Arial" w:cs="Arial"/>
          <w:bCs/>
          <w:szCs w:val="24"/>
          <w:lang w:val="pl-PL"/>
        </w:rPr>
        <w:t xml:space="preserve"> </w:t>
      </w:r>
      <w:r w:rsidRPr="00FE5EA4">
        <w:rPr>
          <w:rFonts w:ascii="Arial" w:hAnsi="Arial" w:cs="Arial"/>
          <w:bCs/>
          <w:szCs w:val="24"/>
          <w:lang w:val="pl-PL"/>
        </w:rPr>
        <w:t xml:space="preserve">z Wojewódzkiego Inspektoratu Inspekcji Handlowej w Rzeszowie przeprowadzili w dniach 16 i 19 listopada 2021 r. kontrolę w sklepie </w:t>
      </w:r>
      <w:r w:rsidR="00FE5EA4" w:rsidRPr="00FE5EA4">
        <w:rPr>
          <w:rFonts w:ascii="Arial" w:hAnsi="Arial" w:cs="Arial"/>
          <w:b/>
          <w:bCs/>
          <w:szCs w:val="24"/>
          <w:lang w:val="pl-PL"/>
        </w:rPr>
        <w:t>(dane zanonimizowane)</w:t>
      </w:r>
      <w:r w:rsidRPr="00FE5EA4">
        <w:rPr>
          <w:rFonts w:ascii="Arial" w:hAnsi="Arial" w:cs="Arial"/>
          <w:bCs/>
          <w:szCs w:val="24"/>
          <w:lang w:val="pl-PL"/>
        </w:rPr>
        <w:t xml:space="preserve"> ul. </w:t>
      </w:r>
      <w:r w:rsidR="00FE5EA4" w:rsidRPr="00FE5EA4">
        <w:rPr>
          <w:rFonts w:ascii="Arial" w:hAnsi="Arial" w:cs="Arial"/>
          <w:b/>
          <w:bCs/>
          <w:szCs w:val="24"/>
          <w:lang w:val="pl-PL"/>
        </w:rPr>
        <w:t>(dane zanonimizowane)</w:t>
      </w:r>
      <w:r w:rsidRPr="00FE5EA4">
        <w:rPr>
          <w:rFonts w:ascii="Arial" w:hAnsi="Arial" w:cs="Arial"/>
          <w:bCs/>
          <w:szCs w:val="24"/>
          <w:lang w:val="pl-PL"/>
        </w:rPr>
        <w:t xml:space="preserve">w Dębicy własności NEONET Spółka </w:t>
      </w:r>
      <w:r w:rsidRPr="00FE5EA4">
        <w:rPr>
          <w:rFonts w:ascii="Arial" w:hAnsi="Arial" w:cs="Arial"/>
          <w:bCs/>
          <w:szCs w:val="24"/>
          <w:lang w:val="pl-PL"/>
        </w:rPr>
        <w:lastRenderedPageBreak/>
        <w:t xml:space="preserve">Akcyjna, ul. </w:t>
      </w:r>
      <w:r w:rsidR="00FE5EA4" w:rsidRPr="00FE5EA4">
        <w:rPr>
          <w:rFonts w:ascii="Arial" w:hAnsi="Arial" w:cs="Arial"/>
          <w:b/>
          <w:bCs/>
          <w:szCs w:val="24"/>
          <w:lang w:val="pl-PL"/>
        </w:rPr>
        <w:t>(dane zanonimizowane)</w:t>
      </w:r>
      <w:r w:rsidRPr="00FE5EA4">
        <w:rPr>
          <w:rFonts w:ascii="Arial" w:hAnsi="Arial" w:cs="Arial"/>
          <w:bCs/>
          <w:szCs w:val="24"/>
          <w:lang w:val="pl-PL"/>
        </w:rPr>
        <w:t>Wrocław – zwanej dalej także stroną, spółką lub kontrolowanym.</w:t>
      </w:r>
    </w:p>
    <w:p w14:paraId="467556E5" w14:textId="77777777" w:rsidR="00A85FA0" w:rsidRPr="00FE5EA4" w:rsidRDefault="00A85FA0" w:rsidP="00A85FA0">
      <w:pPr>
        <w:pStyle w:val="Nagwek"/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W jej trakcie inspektorzy reprezentujący Podkarpackiego Wojewódzkiego Inspektora Inspekcji Handlowej, sprawdzili prawidłowość wykonywania działalności w zakresie wynikającym z art. 37 oraz art. 39 ustawy.</w:t>
      </w:r>
    </w:p>
    <w:p w14:paraId="6235AC24" w14:textId="3BBFF720" w:rsidR="00A85FA0" w:rsidRPr="00FE5EA4" w:rsidRDefault="00A85FA0" w:rsidP="00FE5EA4">
      <w:pPr>
        <w:pStyle w:val="Nagwek3"/>
        <w:spacing w:before="120"/>
        <w:rPr>
          <w:bCs w:val="0"/>
        </w:rPr>
      </w:pPr>
      <w:r w:rsidRPr="00FE5EA4">
        <w:rPr>
          <w:bCs w:val="0"/>
        </w:rPr>
        <w:t xml:space="preserve">W pierwszym dniu kontroli, tj. 16 listopada 2021 r., inspektorzy przeprowadzający kontrolę stwierdzili, że w sklepie o powierzchni 450m² </w:t>
      </w:r>
      <w:r w:rsidR="00FE5EA4" w:rsidRPr="00FE5EA4">
        <w:rPr>
          <w:b/>
        </w:rPr>
        <w:t>(dane zanonimizowane)</w:t>
      </w:r>
      <w:r w:rsidRPr="00FE5EA4">
        <w:rPr>
          <w:bCs w:val="0"/>
        </w:rPr>
        <w:t xml:space="preserve"> ul. </w:t>
      </w:r>
      <w:r w:rsidR="00FE5EA4" w:rsidRPr="00FE5EA4">
        <w:rPr>
          <w:b/>
        </w:rPr>
        <w:t>(dane zanonimizowane)</w:t>
      </w:r>
      <w:r w:rsidRPr="00FE5EA4">
        <w:rPr>
          <w:bCs w:val="0"/>
        </w:rPr>
        <w:t xml:space="preserve"> w Dębicy oferowany był do sprzedaży sprzęt elektryczny i elektroniczny, w tym między innymi sprzęt AGD taki jak</w:t>
      </w:r>
      <w:r w:rsidRPr="00FE5EA4">
        <w:rPr>
          <w:bCs w:val="0"/>
        </w:rPr>
        <w:t xml:space="preserve"> </w:t>
      </w:r>
      <w:r w:rsidRPr="00FE5EA4">
        <w:rPr>
          <w:bCs w:val="0"/>
        </w:rPr>
        <w:t xml:space="preserve">Czajnik Glass </w:t>
      </w:r>
      <w:proofErr w:type="spellStart"/>
      <w:r w:rsidRPr="00FE5EA4">
        <w:rPr>
          <w:bCs w:val="0"/>
        </w:rPr>
        <w:t>kettle</w:t>
      </w:r>
      <w:proofErr w:type="spellEnd"/>
      <w:r w:rsidRPr="00FE5EA4">
        <w:rPr>
          <w:bCs w:val="0"/>
        </w:rPr>
        <w:t xml:space="preserve"> 1,7l; Typ: KI730*; 1850-2200W; CMMF: 8010000473</w:t>
      </w:r>
      <w:r w:rsidRPr="00FE5EA4">
        <w:rPr>
          <w:bCs w:val="0"/>
        </w:rPr>
        <w:t xml:space="preserve"> </w:t>
      </w:r>
      <w:r w:rsidRPr="00FE5EA4">
        <w:rPr>
          <w:bCs w:val="0"/>
        </w:rPr>
        <w:t xml:space="preserve">REF: KI7301132/K80-3919; Dystrybutor </w:t>
      </w:r>
      <w:r w:rsidR="00FE5EA4" w:rsidRPr="00FE5EA4">
        <w:rPr>
          <w:b/>
        </w:rPr>
        <w:t>(dane zanonimizowane)</w:t>
      </w:r>
      <w:r w:rsidRPr="00FE5EA4">
        <w:rPr>
          <w:bCs w:val="0"/>
        </w:rPr>
        <w:t>.</w:t>
      </w:r>
    </w:p>
    <w:p w14:paraId="4019C3E9" w14:textId="77777777" w:rsidR="00A85FA0" w:rsidRPr="00FE5EA4" w:rsidRDefault="00A85FA0" w:rsidP="00A85FA0">
      <w:pPr>
        <w:pStyle w:val="Nagwek"/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Powyższy produkt został poddany ocenie, która wykazała, że prowadzący w tym miejscu działalność gospodarczą przedsiębiorca – będący dystrybutorem udostępniającym na rynku sprzęt elektryczny i elektroniczny - nie dołączył do przedmiotowej partii sprzętu przeznaczonego dla gospodarstw domowych o wartości 179 zł, udostępnionego na rynku, wynikającej z art. 39 pkt 3 ustawy informacji, o której mowa w art. 13 ust. 1 ustawy.</w:t>
      </w:r>
    </w:p>
    <w:p w14:paraId="377D8B86" w14:textId="77777777" w:rsidR="00A85FA0" w:rsidRPr="00FE5EA4" w:rsidRDefault="00A85FA0" w:rsidP="00A85FA0">
      <w:pPr>
        <w:pStyle w:val="Nagwek"/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Stwierdzono, że do produktu nie dołączono wynikającej z:</w:t>
      </w:r>
    </w:p>
    <w:p w14:paraId="15836EC8" w14:textId="77777777" w:rsidR="00A85FA0" w:rsidRPr="00FE5EA4" w:rsidRDefault="00A85FA0" w:rsidP="00A85FA0">
      <w:pPr>
        <w:pStyle w:val="Nagwek"/>
        <w:numPr>
          <w:ilvl w:val="0"/>
          <w:numId w:val="45"/>
        </w:numPr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art. 13 ust. 1 pkt 1 ustawy informacji o zakazie umieszczania zużytego sprzętu łącznie</w:t>
      </w:r>
      <w:r w:rsidRPr="00FE5EA4">
        <w:rPr>
          <w:rFonts w:ascii="Arial" w:hAnsi="Arial" w:cs="Arial"/>
          <w:bCs/>
          <w:szCs w:val="24"/>
          <w:lang w:val="pl-PL"/>
        </w:rPr>
        <w:t xml:space="preserve"> </w:t>
      </w:r>
      <w:r w:rsidRPr="00FE5EA4">
        <w:rPr>
          <w:rFonts w:ascii="Arial" w:hAnsi="Arial" w:cs="Arial"/>
          <w:bCs/>
          <w:szCs w:val="24"/>
          <w:lang w:val="pl-PL"/>
        </w:rPr>
        <w:t>z innymi odpadami, wraz z wyjaśnieniem znaczenia oznakowania, o którym mowa</w:t>
      </w:r>
      <w:r w:rsidRPr="00FE5EA4">
        <w:rPr>
          <w:rFonts w:ascii="Arial" w:hAnsi="Arial" w:cs="Arial"/>
          <w:bCs/>
          <w:szCs w:val="24"/>
          <w:lang w:val="pl-PL"/>
        </w:rPr>
        <w:t xml:space="preserve"> </w:t>
      </w:r>
      <w:r w:rsidRPr="00FE5EA4">
        <w:rPr>
          <w:rFonts w:ascii="Arial" w:hAnsi="Arial" w:cs="Arial"/>
          <w:bCs/>
          <w:szCs w:val="24"/>
          <w:lang w:val="pl-PL"/>
        </w:rPr>
        <w:t>w art. 14 ust. 1 ustawy, tj. symbolu selektywnego zbierania,</w:t>
      </w:r>
    </w:p>
    <w:p w14:paraId="68064BBA" w14:textId="0283CD18" w:rsidR="00A85FA0" w:rsidRPr="00FE5EA4" w:rsidRDefault="00A85FA0" w:rsidP="00A85FA0">
      <w:pPr>
        <w:pStyle w:val="Nagwek"/>
        <w:numPr>
          <w:ilvl w:val="0"/>
          <w:numId w:val="45"/>
        </w:numPr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art. 13 ust. 1 pkt 2 ustawy informacji o potencjalnych skutkach dla środowiska i zdrowia ludzi wynikających z obecności w sprzęcie niebezpiecznych: substancji, mieszanin oraz części składowych (dot. wszystkich wymienionych produktów).</w:t>
      </w:r>
    </w:p>
    <w:p w14:paraId="502E51F5" w14:textId="16731CF6" w:rsidR="00A85FA0" w:rsidRPr="00FE5EA4" w:rsidRDefault="00A85FA0" w:rsidP="00A85FA0">
      <w:pPr>
        <w:pStyle w:val="Nagwek"/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Ustalenia z kontroli zawarte zostały w protokole z kontroli sygn. KH.8361.84.2021 z dnia</w:t>
      </w:r>
      <w:r w:rsidRPr="00FE5EA4">
        <w:rPr>
          <w:rFonts w:ascii="Arial" w:hAnsi="Arial" w:cs="Arial"/>
          <w:bCs/>
          <w:szCs w:val="24"/>
          <w:lang w:val="pl-PL"/>
        </w:rPr>
        <w:t xml:space="preserve"> </w:t>
      </w:r>
      <w:r w:rsidRPr="00FE5EA4">
        <w:rPr>
          <w:rFonts w:ascii="Arial" w:hAnsi="Arial" w:cs="Arial"/>
          <w:bCs/>
          <w:szCs w:val="24"/>
          <w:lang w:val="pl-PL"/>
        </w:rPr>
        <w:t>16 listopada 2021 r., do którego kontrolowany nie wniósł uwag.</w:t>
      </w:r>
    </w:p>
    <w:p w14:paraId="6C37BEF5" w14:textId="6B4128E7" w:rsidR="00A85FA0" w:rsidRPr="00FE5EA4" w:rsidRDefault="00A85FA0" w:rsidP="00A85FA0">
      <w:pPr>
        <w:pStyle w:val="Nagwek3"/>
        <w:spacing w:before="120"/>
        <w:rPr>
          <w:bCs w:val="0"/>
          <w:color w:val="000000"/>
        </w:rPr>
      </w:pPr>
      <w:r w:rsidRPr="00FE5EA4">
        <w:rPr>
          <w:bCs w:val="0"/>
          <w:color w:val="000000"/>
        </w:rPr>
        <w:t xml:space="preserve">Pismem z dnia 8 grudnia 2021 r., Podkarpacki Wojewódzki Inspektor Inspekcji Handlowej zawiadomił stronę o wszczęciu z urzędu postępowania w sprawie wymierzenia kary pieniężnej określonej w art. 91 pkt 26 lit. d ustawy w związku z udostępnieniem na rynku sprzętu wprowadzonego do obrotu bez załączonych </w:t>
      </w:r>
      <w:r w:rsidRPr="00FE5EA4">
        <w:rPr>
          <w:bCs w:val="0"/>
          <w:color w:val="000000"/>
        </w:rPr>
        <w:lastRenderedPageBreak/>
        <w:t>informacji, o których mowa w art. 13</w:t>
      </w:r>
      <w:r w:rsidRPr="00FE5EA4">
        <w:rPr>
          <w:bCs w:val="0"/>
          <w:color w:val="000000"/>
        </w:rPr>
        <w:t xml:space="preserve"> </w:t>
      </w:r>
      <w:r w:rsidRPr="00FE5EA4">
        <w:t>ust. 1 pkt 1 i 2 ustawy, tj. wbrew wynikającemu z art. 39 pkt 3 ustawy obowiązkowi.</w:t>
      </w:r>
    </w:p>
    <w:p w14:paraId="3D52D7B2" w14:textId="39E659C6" w:rsidR="00A85FA0" w:rsidRPr="00FE5EA4" w:rsidRDefault="00A85FA0" w:rsidP="00A85FA0">
      <w:pPr>
        <w:pStyle w:val="Nagwek"/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Jednocześnie stronę postępowania pouczono o przysługującym jej prawie do czynnego udziału w postępowaniu, a w szczególności o prawie wypowiadania się co do zebranych dowodów i materiałów, przeglądania akt sprawy, jak również brania udziału</w:t>
      </w:r>
      <w:r w:rsidRPr="00FE5EA4">
        <w:rPr>
          <w:rFonts w:ascii="Arial" w:hAnsi="Arial" w:cs="Arial"/>
          <w:bCs/>
          <w:szCs w:val="24"/>
          <w:lang w:val="pl-PL"/>
        </w:rPr>
        <w:t xml:space="preserve"> </w:t>
      </w:r>
      <w:r w:rsidRPr="00FE5EA4">
        <w:rPr>
          <w:rFonts w:ascii="Arial" w:hAnsi="Arial" w:cs="Arial"/>
          <w:bCs/>
          <w:szCs w:val="24"/>
          <w:lang w:val="pl-PL"/>
        </w:rPr>
        <w:t xml:space="preserve">w przeprowadzeniu dowodu, zadawaniu pytań świadkom, biegłym i stronom oraz składania wyjaśnień. Odbiór pisma potwierdzono w dniu 13 grudnia 2021 r. </w:t>
      </w:r>
    </w:p>
    <w:p w14:paraId="12B77DC6" w14:textId="363645E0" w:rsidR="00E736AA" w:rsidRPr="00FE5EA4" w:rsidRDefault="00A85FA0" w:rsidP="00E736AA">
      <w:pPr>
        <w:pStyle w:val="Nagwek"/>
        <w:spacing w:before="120" w:line="360" w:lineRule="auto"/>
        <w:rPr>
          <w:rFonts w:ascii="Arial" w:hAnsi="Arial" w:cs="Arial"/>
          <w:bCs/>
          <w:szCs w:val="24"/>
          <w:lang w:val="pl-PL"/>
        </w:rPr>
      </w:pPr>
      <w:r w:rsidRPr="00FE5EA4">
        <w:rPr>
          <w:rFonts w:ascii="Arial" w:hAnsi="Arial" w:cs="Arial"/>
          <w:bCs/>
          <w:szCs w:val="24"/>
          <w:lang w:val="pl-PL"/>
        </w:rPr>
        <w:t>Strona z przysługującego jej prawa nie skorzystała.</w:t>
      </w:r>
    </w:p>
    <w:p w14:paraId="048832BA" w14:textId="65DC5E9A" w:rsidR="00A96E78" w:rsidRPr="00FE5EA4" w:rsidRDefault="00F64E33" w:rsidP="008D402D">
      <w:pPr>
        <w:pStyle w:val="Nagwek2"/>
        <w:spacing w:before="120" w:after="120"/>
        <w:rPr>
          <w:color w:val="000000"/>
          <w:szCs w:val="24"/>
        </w:rPr>
      </w:pPr>
      <w:r w:rsidRPr="00FE5EA4">
        <w:t>Podkarpacki Wojewódzki Inspektor Inspekcji Handlowej ustalił i stwierdził, co następuje</w:t>
      </w:r>
      <w:r w:rsidR="0051739C" w:rsidRPr="00FE5EA4">
        <w:t>:</w:t>
      </w:r>
    </w:p>
    <w:p w14:paraId="4D12F6BD" w14:textId="3A334CA0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Zgodnie z art. 93 ust. 2 ustawy, administracyjne kary pieniężne za naruszenie przepisów,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o których mowa w art. 91 pkt 26 ustawy, wymierza w drodze decyzji, właściwy wojewódzki inspektor Inspekcji Handlowej. W powyższej sprawie kontrola została przeprowadzona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w punkcie sprzedaży w Dębicy (województwo podkarpackie), dlatego właściwym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do wszczęcia i przeprowadzenia postępowania administracyjnego oraz wydania decyzji jest Podkarpacki Wojewódzki Inspektor Inspekcji Handlowej.</w:t>
      </w:r>
    </w:p>
    <w:p w14:paraId="6B909C2F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Zgodnie z art. 87 ustawy, do zadań Inspekcji Handlowej należy kontrola przestrzegania przez dystrybutorów m.in. przepisu art. 39 ww. ustawy.</w:t>
      </w:r>
    </w:p>
    <w:p w14:paraId="3177140A" w14:textId="77777777" w:rsidR="00A85FA0" w:rsidRPr="00FE5EA4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Artykuł 39 ustawy nakłada na dystrybutora m.in. obowiązek:</w:t>
      </w:r>
      <w:r w:rsidRPr="00FE5EA4">
        <w:rPr>
          <w:rFonts w:ascii="Arial" w:hAnsi="Arial" w:cs="Arial"/>
          <w:szCs w:val="24"/>
        </w:rPr>
        <w:t xml:space="preserve"> </w:t>
      </w:r>
    </w:p>
    <w:p w14:paraId="1674F27E" w14:textId="77777777" w:rsidR="00A85FA0" w:rsidRPr="00FE5EA4" w:rsidRDefault="00A85FA0" w:rsidP="00A85FA0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umieszczania w widocznym miejscu w punkcie sprzedaży informacji o punktach zbierania zużytego sprzętu (pkt 2),</w:t>
      </w:r>
    </w:p>
    <w:p w14:paraId="4C81BC42" w14:textId="77F53EBE" w:rsidR="00A85FA0" w:rsidRPr="00FE5EA4" w:rsidRDefault="00A85FA0" w:rsidP="00A85FA0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udostępniania na rynku sprzętu wraz z dołączoną do niego informacją, o której mowa w art. 13 ust. 1, w przypadku sprzętu przeznaczonego dla gospodarstw domowych</w:t>
      </w:r>
      <w:r w:rsidRPr="00FE5EA4">
        <w:rPr>
          <w:rFonts w:ascii="Arial" w:hAnsi="Arial" w:cs="Arial"/>
          <w:szCs w:val="24"/>
        </w:rPr>
        <w:t xml:space="preserve"> </w:t>
      </w:r>
      <w:r w:rsidRPr="00FE5EA4">
        <w:rPr>
          <w:rFonts w:ascii="Arial" w:hAnsi="Arial" w:cs="Arial"/>
          <w:szCs w:val="24"/>
        </w:rPr>
        <w:t>(pkt 3).</w:t>
      </w:r>
    </w:p>
    <w:p w14:paraId="2820046D" w14:textId="71780A3E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Zgodnie z art. 13 ust. 1 pkt 1 ustawy wprowadzający sprzęt jest obowiązany dołączyć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do sprzętu przeznaczonego dla gospodarstw domowych informację o zakazie umieszczania zużytego sprzętu łącznie z innymi odpadami, wraz z wyjaśnieniem znaczenia oznakowania,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 xml:space="preserve">o którym mowa w art. 14 ust 1. </w:t>
      </w:r>
    </w:p>
    <w:p w14:paraId="6F5688E9" w14:textId="6B1C4D21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Zgodnie z art. 13 ust. 1 pkt 2 ustawy wprowadzający sprzęt jest obowiązany dołączyć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 xml:space="preserve">do sprzętu przeznaczonego dla gospodarstw domowych informację o potencjalnych </w:t>
      </w:r>
      <w:r w:rsidRPr="00A85FA0">
        <w:rPr>
          <w:rFonts w:ascii="Arial" w:hAnsi="Arial" w:cs="Arial"/>
          <w:szCs w:val="24"/>
        </w:rPr>
        <w:lastRenderedPageBreak/>
        <w:t>skutkach dla środowiska i zdrowia ludzi wynikających z obecności w sprzęcie niebezpiecznych substancji, mieszanin oraz części składowych.</w:t>
      </w:r>
    </w:p>
    <w:p w14:paraId="65CF3F24" w14:textId="63C53A8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Przez dystrybutora, zgodnie z definicją zawartą w art. 4 pkt 2 ustawy, rozumie się osobę fizyczną, jednostkę organizacyjną niemającą osobowości prawnej lub osobę prawną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w łańcuchu dostaw, która udostępnia na rynku sprzęt. Dystrybutor może być jednocześnie wprowadzającym sprzęt.</w:t>
      </w:r>
    </w:p>
    <w:p w14:paraId="5AB62284" w14:textId="0943833F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 xml:space="preserve">Według ustawy pod pojęciem sprzętu rozumie się urządzenie, którego prawidłowe działanie jest uzależnione od dopływu prądu elektrycznego lub od obecności pól elektromagnetycznych, oraz urządzenie mogące służyć do wytwarzania, </w:t>
      </w:r>
      <w:proofErr w:type="spellStart"/>
      <w:r w:rsidRPr="00A85FA0">
        <w:rPr>
          <w:rFonts w:ascii="Arial" w:hAnsi="Arial" w:cs="Arial"/>
          <w:szCs w:val="24"/>
        </w:rPr>
        <w:t>przesyłu</w:t>
      </w:r>
      <w:proofErr w:type="spellEnd"/>
      <w:r w:rsidRPr="00A85FA0">
        <w:rPr>
          <w:rFonts w:ascii="Arial" w:hAnsi="Arial" w:cs="Arial"/>
          <w:szCs w:val="24"/>
        </w:rPr>
        <w:t xml:space="preserve"> lub pomiaru prądu elektrycznego lub pól elektromagnetycznych, które są zaprojektowane do użytku przy napięciu elektrycznym nieprzekraczającym 1000 V dla prądu przemiennego oraz 1500 V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dla prądu stałego (art. 4 pkt 13 ustawy).</w:t>
      </w:r>
    </w:p>
    <w:p w14:paraId="18570503" w14:textId="0567148B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Sprzętem przeznaczonym dla gospodarstw domowych jest sprzęt, który może być używany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w gospodarstwach domowych, jak i przez użytkowników innych niż gospodarstwa domowe (art. 4 pkt 14 ustawy).</w:t>
      </w:r>
    </w:p>
    <w:p w14:paraId="5D67FC82" w14:textId="35369475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Natomiast udostępnienie na rynku to dostarczanie sprzętu w celu jego dystrybucji,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konsumpcji lub używania na terytorium kraju w ramach działalności gospodarczej, odpłatnie lub nieodpłatnie (art. 4 pkt 17 ustawy).</w:t>
      </w:r>
    </w:p>
    <w:p w14:paraId="794EFECF" w14:textId="17814196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Pojęcie zużytego sprzętu pochodzącego z gospodarstw domowych zdefiniowane zostało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w art. 4 pkt 25 ustawy i oznacza zużyty sprzęt pochodzący z gospodarstw domowych oraz zużyty sprzęt pochodzący ze źródeł innych niż gospodarstwa domowe, który ze względu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na charakter i ilość jest podobny do zużytego sprzętu pochodzącego z gospodarstw domowych; za zużyty sprzęt pochodzący z gospodarstw domowych uznaje się odpady powstałe ze sprzętu, który z dużym prawdopodobieństwem będzie używany zarówno przez gospodarstwa domowe, jak i przez użytkowników innych niż gospodarstwa domowe.</w:t>
      </w:r>
    </w:p>
    <w:p w14:paraId="66924781" w14:textId="13C9739C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Zgodnie z art. 91 pkt 26 lit. d ustawy, administracyjnej karze pieniężnej podlega ten, kto udostępnia na rynku sprzęt przeznaczony dla gospodarstw domowych bez dołączonych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do niego informacji, o których mowa w art. 13 ust. 1 ustawy.</w:t>
      </w:r>
    </w:p>
    <w:p w14:paraId="14CE06E5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Wysokość administracyjnej kary pieniężnej w przypadku, o którym mowa powyżej, stosownie do art. 92 pkt 5 ww. ustawy wynosi od 5 000 zł do 500 000 zł.</w:t>
      </w:r>
    </w:p>
    <w:p w14:paraId="3EEB294D" w14:textId="620A148B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lastRenderedPageBreak/>
        <w:t>Przy ustalaniu wysokości kary pieniężnej uwzględnia się stopień szkodliwości naruszenia, rodzaj, zakres i okres trwania naruszenia oraz dotychczasową działalność podmiotu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(art. 93 ust. 3).</w:t>
      </w:r>
    </w:p>
    <w:p w14:paraId="5E9C4BF5" w14:textId="66476E89" w:rsidR="00A85FA0" w:rsidRPr="00A85FA0" w:rsidRDefault="00A85FA0" w:rsidP="00FE5EA4">
      <w:pPr>
        <w:pStyle w:val="Nagwek3"/>
        <w:spacing w:before="120"/>
        <w:rPr>
          <w:bCs w:val="0"/>
        </w:rPr>
      </w:pPr>
      <w:r w:rsidRPr="00A85FA0">
        <w:rPr>
          <w:bCs w:val="0"/>
        </w:rPr>
        <w:t xml:space="preserve">W przedmiotowej sprawie w wyniku kontroli przeprowadzonej w dniach 16 i 19 listopada 2021 r. w sklepie </w:t>
      </w:r>
      <w:r w:rsidR="00FE5EA4" w:rsidRPr="00FE5EA4">
        <w:rPr>
          <w:b/>
        </w:rPr>
        <w:t>(dane zanonimizowane)</w:t>
      </w:r>
      <w:r w:rsidRPr="00A85FA0">
        <w:rPr>
          <w:bCs w:val="0"/>
        </w:rPr>
        <w:t xml:space="preserve"> ul. </w:t>
      </w:r>
      <w:r w:rsidR="00FE5EA4" w:rsidRPr="00FE5EA4">
        <w:rPr>
          <w:b/>
        </w:rPr>
        <w:t>(dane zanonimizowane)</w:t>
      </w:r>
      <w:r w:rsidRPr="00A85FA0">
        <w:rPr>
          <w:b/>
          <w:bCs w:val="0"/>
        </w:rPr>
        <w:t xml:space="preserve"> </w:t>
      </w:r>
      <w:r w:rsidRPr="00A85FA0">
        <w:rPr>
          <w:bCs w:val="0"/>
        </w:rPr>
        <w:t xml:space="preserve">w Dębicy własności NEONET Spółka Akcyjna, ul. </w:t>
      </w:r>
      <w:r w:rsidR="00FE5EA4" w:rsidRPr="00FE5EA4">
        <w:rPr>
          <w:b/>
        </w:rPr>
        <w:t>(dane zanonimizowane)</w:t>
      </w:r>
      <w:r w:rsidRPr="00A85FA0">
        <w:rPr>
          <w:b/>
          <w:bCs w:val="0"/>
        </w:rPr>
        <w:t xml:space="preserve"> </w:t>
      </w:r>
      <w:r w:rsidRPr="00A85FA0">
        <w:rPr>
          <w:bCs w:val="0"/>
        </w:rPr>
        <w:t>Wrocław, ustalono że prowadząca tam działalność gospodarczą spółka – dystrybutor – udostępniała na rynku sprzęt przeznaczony dla gospodarstw domowych tj.: Czajnik Glass elektryczny, jednocześnie niedopełniając wynikającego z art. 39 pkt 3 ustawy obowiązku dołączania do niego informacji, o której mowa w art. 13 ust. 1 pkt. 1 i 2 ustawy.</w:t>
      </w:r>
    </w:p>
    <w:p w14:paraId="2D1ADFCE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Przy sprzęcie przeznaczonym dla gospodarstw domowych brak było informacji o zakazie umieszczania zużytego sprzętu łącznie z innymi odpadami, wraz z wyjaśnieniem znaczenia oznakowania, o którym mowa w art. 14 ust. 1 ustawy, tj. symbolu selektywnego zbierania oraz informacji o potencjalnych skutkach dla środowiska i zdrowia ludzi wynikających z obecności w sprzęcie niebezpiecznych: substancji, mieszanin oraz części składowych.</w:t>
      </w:r>
    </w:p>
    <w:p w14:paraId="7B08A797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W związku z powyższym spełnione zostały przesłanki do nałożenia na spółkę przez Podkarpackiego Wojewódzkiego Inspektora Inspekcji Handlowej, kary pieniężnej przewidzianej w art. 91 pkt 26 lit. d ustawy.</w:t>
      </w:r>
    </w:p>
    <w:p w14:paraId="1612502F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Miarkując karę pieniężną organ oparł się na art. 93 ust. 3 ustawy wskazującym, że przy ustalaniu wysokości administracyjnej kary pieniężnej uwzględnia się stopień szkodliwości naruszenia, rodzaj, zakres i okres trwania naruszenia oraz dotychczasową działalność podmiotu.</w:t>
      </w:r>
    </w:p>
    <w:p w14:paraId="579AC628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Uwzględniając dyspozycję ww. przepisu Podkarpacki Wojewódzki Inspektor Inspekcji Handlowej stwierdził i uznał, że w kontrolowanej placówce nie dopełniono obowiązku przestrzegania zawartych w art. 39 pkt 3 ustawy. Nieprzestrzeganie tego obowiązku mogło spowodować u kupujących przekonanie, że zakupiony w placówce sprzęt nie wymaga selektywnego zbierania i może być utylizowany ze zwykłymi odpadami. Zapewnienie obowiązkowych informacji jest obligatoryjne dla wszystkich przedsiębiorców, których działalność gospodarcza wiąże się ze sprzedażą sprzętu elektrycznego i elektronicznego.</w:t>
      </w:r>
    </w:p>
    <w:p w14:paraId="67B0D760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lastRenderedPageBreak/>
        <w:t xml:space="preserve">Organ wziął pod uwagę, że nieprawidłowości dotyczyły 1 z 5 ocenianych partii produktów. </w:t>
      </w:r>
    </w:p>
    <w:p w14:paraId="06437ED5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 xml:space="preserve">Z kolei okres trwania naruszenia nie jest możliwy do ustalenia, z uwagi na fakt, iż była to pierwsza kontrola Inspekcji Handlowej u kontrolowanego przedsiębiorcy w zakresie wskazanym w upoważnieniu do przeprowadzenia kontroli. Naruszenie to stwierdzono w dniu 16 listopada 2021 r. </w:t>
      </w:r>
    </w:p>
    <w:p w14:paraId="666555A4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 xml:space="preserve">Przy ocenie </w:t>
      </w:r>
      <w:r w:rsidRPr="00A85FA0">
        <w:rPr>
          <w:rFonts w:ascii="Arial" w:hAnsi="Arial" w:cs="Arial"/>
          <w:b/>
          <w:bCs/>
          <w:szCs w:val="24"/>
        </w:rPr>
        <w:t>dotychczasowej działalności gospodarczej</w:t>
      </w:r>
      <w:r w:rsidRPr="00A85FA0">
        <w:rPr>
          <w:rFonts w:ascii="Arial" w:hAnsi="Arial" w:cs="Arial"/>
          <w:szCs w:val="24"/>
        </w:rPr>
        <w:t xml:space="preserve"> przedsiębiorcy wzięto pod uwagę okoliczność, że strona nie była wcześniej karana przez Podkarpackiego Wojewódzkiego Inspektora Inspekcji Handlowej za naruszenie przepisów art. 39 pkt 3 ustawy, jak również fakt, że na podstawie danych zawartych w Centralnej Informacji Krajowego Rejestru Sądowego, przedsiębiorca wykonuje działalność gospodarczą od 30 września 2004 r., natomiast ustawa obowiązuje od 1 stycznia 2016 r. </w:t>
      </w:r>
    </w:p>
    <w:p w14:paraId="5893717B" w14:textId="77777777" w:rsidR="00A85FA0" w:rsidRPr="00A85FA0" w:rsidRDefault="00A85FA0" w:rsidP="00FE5EA4">
      <w:pPr>
        <w:pStyle w:val="Nagwek3"/>
        <w:spacing w:before="120"/>
        <w:rPr>
          <w:bCs w:val="0"/>
        </w:rPr>
      </w:pPr>
      <w:r w:rsidRPr="00A85FA0">
        <w:rPr>
          <w:bCs w:val="0"/>
        </w:rPr>
        <w:t xml:space="preserve">Mając na uwadze powyższe, organ ustalił wysokość kary na kwotę </w:t>
      </w:r>
      <w:r w:rsidRPr="00A85FA0">
        <w:rPr>
          <w:b/>
          <w:bCs w:val="0"/>
        </w:rPr>
        <w:t>5 000 zł.</w:t>
      </w:r>
    </w:p>
    <w:p w14:paraId="2B757405" w14:textId="50E83019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Czynności kontrolne przeprowadzone w sklepie należącym do strony postępowania jednoznacznie potwierdziły, iż ww. przedsiębiorca nie wykonał obowiązków wynikających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z art. 39 pkt 3 ustawy.</w:t>
      </w:r>
    </w:p>
    <w:p w14:paraId="53F0B2B7" w14:textId="291A90AF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Przesłanki dotyczące administracyjnej kary pieniężnej w niniejszym postępowaniu zostały uregulowane w rozdziale 14 począwszy od art. 91 ustawy. Zgodnie z treścią art. 93 ust. 4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ww. ustawy, jeżeli podmiot podlegający ukaraniu przedstawi organowi dowody i okoliczności wskazujące, że ten dochował należytej staranności i uczynił wszystko, czego można od niego rozsądnie oczekiwać, aby do naruszenia nie doszło lub że nie miał żadnego wpływu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na powstanie naruszenia, a naruszenie to nastąpiło wskutek zdarzeń i okoliczności, których podmiot nie mógł przewidzieć, organ nie wszczyna postępowania w sprawie nałożenia administracyjnej kary pieniężnej wobec tego podmiotu, a postępowanie wszczęte w tej sprawie umarza.</w:t>
      </w:r>
    </w:p>
    <w:p w14:paraId="5404FA95" w14:textId="1EDF7ABB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Trzeba stwierdzić, że strona, będąc dystrybutorem sprzętu elektrycznego i elektronicznego przeznaczonego dla gospodarstw domowych, nie spełniła wskazanych w tym przepisie przesłanek, choć jako podmiot profesjonalny winna wiedzieć jakie ciążą na niej obowiązki informacyjne. Ponadto, podkreślić należy, że czynności kontrolne zostały podjęte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 xml:space="preserve">po uprzednim zawiadomieniu o zamiarze wszczęcia kontroli, tak więc, przedsiębiorca miał czas i możliwość przeanalizować i </w:t>
      </w:r>
      <w:r w:rsidRPr="00A85FA0">
        <w:rPr>
          <w:rFonts w:ascii="Arial" w:hAnsi="Arial" w:cs="Arial"/>
          <w:szCs w:val="24"/>
        </w:rPr>
        <w:lastRenderedPageBreak/>
        <w:t>dostosować całą dokumentację informacje/ulotki załączone do każdego produktu stosownie do obowiązujących w tym zakresie przepisów.</w:t>
      </w:r>
    </w:p>
    <w:p w14:paraId="5E0E19BE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Strona nie przedstawiła ponadto organowi dowodów czy okoliczności wskazujących na dochowanie przez nią należytej staranności itp.</w:t>
      </w:r>
    </w:p>
    <w:p w14:paraId="5DFE7247" w14:textId="77777777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Zatem stwierdzić należy, iż strona nie spełniła żadnej przesłanki, która mogłaby powodować umorzenie wszczętego postępowania administracyjnego.</w:t>
      </w:r>
    </w:p>
    <w:p w14:paraId="0572E8FC" w14:textId="543D932E" w:rsidR="00A85FA0" w:rsidRPr="00A85FA0" w:rsidRDefault="00A85FA0" w:rsidP="00FE5EA4">
      <w:pPr>
        <w:pStyle w:val="Nagwek3"/>
        <w:spacing w:before="120"/>
        <w:rPr>
          <w:bCs w:val="0"/>
        </w:rPr>
      </w:pPr>
      <w:r w:rsidRPr="00A85FA0">
        <w:rPr>
          <w:bCs w:val="0"/>
        </w:rPr>
        <w:t>Podkarpacki Wojewódzki Inspektor Inspekcji Handlowej wydając decyzję oparł</w:t>
      </w:r>
      <w:r w:rsidRPr="00FE5EA4">
        <w:rPr>
          <w:bCs w:val="0"/>
        </w:rPr>
        <w:t xml:space="preserve"> </w:t>
      </w:r>
      <w:r w:rsidRPr="00A85FA0">
        <w:rPr>
          <w:bCs w:val="0"/>
        </w:rPr>
        <w:t>się na następujących dowodach: protokole kontroli nr KH.8361.84.2021 z dnia 16 listopada 2021 r. wraz z załącznikami, zawiadomieniu o wszczęciu postępowania z urzędu z dnia</w:t>
      </w:r>
      <w:r w:rsidRPr="00FE5EA4">
        <w:rPr>
          <w:bCs w:val="0"/>
        </w:rPr>
        <w:t xml:space="preserve"> </w:t>
      </w:r>
      <w:r w:rsidRPr="00A85FA0">
        <w:rPr>
          <w:bCs w:val="0"/>
        </w:rPr>
        <w:t>8 grudnia 2021 r.</w:t>
      </w:r>
    </w:p>
    <w:p w14:paraId="2460C133" w14:textId="371C9B6F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>Podkarpacki Wojewódzki Inspektor Inspekcji Handlowej uznał, iż analiza przedstawionych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 xml:space="preserve">w sprawie okoliczności, uzasadnia wymierzenie przedsiębiorcy, kary pieniężnej. Biorąc pod uwagę wszystkie fakty oraz uwzględniając przesłanki, o których mowa w art. 93 ust. 3 ustawy Podkarpacki Wojewódzki Inspektor Inspekcji Handlowej nałożył karę pieniężną w wysokości najniższej z możliwych tj. </w:t>
      </w:r>
      <w:r w:rsidRPr="00A85FA0">
        <w:rPr>
          <w:rFonts w:ascii="Arial" w:hAnsi="Arial" w:cs="Arial"/>
          <w:b/>
          <w:szCs w:val="24"/>
        </w:rPr>
        <w:t>5 000 zł.</w:t>
      </w:r>
    </w:p>
    <w:p w14:paraId="7424125F" w14:textId="3311EB16" w:rsidR="00A85FA0" w:rsidRPr="00A85FA0" w:rsidRDefault="00A85FA0" w:rsidP="00A85FA0">
      <w:pPr>
        <w:spacing w:before="120" w:line="360" w:lineRule="auto"/>
        <w:rPr>
          <w:rFonts w:ascii="Arial" w:hAnsi="Arial" w:cs="Arial"/>
          <w:szCs w:val="24"/>
        </w:rPr>
      </w:pPr>
      <w:r w:rsidRPr="00A85FA0">
        <w:rPr>
          <w:rFonts w:ascii="Arial" w:hAnsi="Arial" w:cs="Arial"/>
          <w:szCs w:val="24"/>
        </w:rPr>
        <w:t xml:space="preserve">Na podstawie art. 93 ust. 7 ustawy należności z tytułu administracyjnych kar pieniężnych stanowią dochód budżetu państwa. Kwotę </w:t>
      </w:r>
      <w:r w:rsidRPr="00A85FA0">
        <w:rPr>
          <w:rFonts w:ascii="Arial" w:hAnsi="Arial" w:cs="Arial"/>
          <w:b/>
          <w:bCs/>
          <w:szCs w:val="24"/>
        </w:rPr>
        <w:t>5 000 zł</w:t>
      </w:r>
      <w:r w:rsidRPr="00A85FA0">
        <w:rPr>
          <w:rFonts w:ascii="Arial" w:hAnsi="Arial" w:cs="Arial"/>
          <w:szCs w:val="24"/>
        </w:rPr>
        <w:t xml:space="preserve"> strona winna wpłacić na rachunek bankowy Wojewódzkiego Inspektoratu Inspekcji Handlowej w Rzeszowie, ul. 8-go Marca 5, 35-959 Rzeszów – numer konta:</w:t>
      </w:r>
      <w:r w:rsidR="00FE5EA4"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b/>
          <w:szCs w:val="24"/>
        </w:rPr>
        <w:t>NBP O/O w Rzeszowie 67 1010 1528 0016 5822 3100 0000</w:t>
      </w:r>
      <w:r w:rsidR="00FE5EA4"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w terminie 14 dni od dnia, w którym decyzja o wymierzeniu administracyjnej kary pieniężnej stała się ostateczna. Kwota niezapłacona w terminie staje się zaległością podatkową w rozumieniu art. 51 § 1 ustawy z dnia 29 sierpnia 1997 r. Ordynacja podatkowa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(tekst jednolity: Dz. U. 2021 r., poz. 1540), od której naliczane są odsetki za zwłokę zgodnie</w:t>
      </w:r>
      <w:r w:rsidRPr="00FE5EA4">
        <w:rPr>
          <w:rFonts w:ascii="Arial" w:hAnsi="Arial" w:cs="Arial"/>
          <w:szCs w:val="24"/>
        </w:rPr>
        <w:t xml:space="preserve"> </w:t>
      </w:r>
      <w:r w:rsidRPr="00A85FA0">
        <w:rPr>
          <w:rFonts w:ascii="Arial" w:hAnsi="Arial" w:cs="Arial"/>
          <w:szCs w:val="24"/>
        </w:rPr>
        <w:t>z art. 53 § 1 ww. ustawy.</w:t>
      </w:r>
    </w:p>
    <w:p w14:paraId="6808DDF3" w14:textId="0F7D2EFA" w:rsidR="001D770F" w:rsidRPr="00FE5EA4" w:rsidRDefault="001B32A3" w:rsidP="00187AEB">
      <w:pPr>
        <w:pStyle w:val="Nagwek2"/>
      </w:pPr>
      <w:r w:rsidRPr="00FE5EA4">
        <w:t>Pouczenie:</w:t>
      </w:r>
    </w:p>
    <w:p w14:paraId="774D230B" w14:textId="77777777" w:rsidR="00FE5EA4" w:rsidRPr="00FE5EA4" w:rsidRDefault="00FE5EA4" w:rsidP="00FE5EA4">
      <w:pPr>
        <w:numPr>
          <w:ilvl w:val="0"/>
          <w:numId w:val="49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 pośrednictwem </w:t>
      </w:r>
      <w:r w:rsidRPr="00FE5EA4">
        <w:rPr>
          <w:rFonts w:ascii="Arial" w:hAnsi="Arial" w:cs="Arial"/>
          <w:szCs w:val="24"/>
        </w:rPr>
        <w:lastRenderedPageBreak/>
        <w:t>Podkarpackiego Wojewódzkiego Inspektora Inspekcji Handlowej, ul. 8-go Marca 5, 35-959 Rzeszów w terminie 14 dni od dnia jej doręczenia.</w:t>
      </w:r>
    </w:p>
    <w:p w14:paraId="654663A4" w14:textId="77777777" w:rsidR="00FE5EA4" w:rsidRPr="00FE5EA4" w:rsidRDefault="00FE5EA4" w:rsidP="00FE5EA4">
      <w:pPr>
        <w:numPr>
          <w:ilvl w:val="0"/>
          <w:numId w:val="49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Stosownie do art. 93 ust. 6 ustawy z dnia 11 września 2015 r. o zużytym sprzęcie elektrycznym i elektronicznym (tekst jednolity: Dz. U. z 2020 r., poz. 1893 ze zm.) termin uiszczenia kary pieniężnej wynosi 14 dni od dnia, w którym decyzja o wymierzeniu kary pieniężnej stała się ostateczna.</w:t>
      </w:r>
    </w:p>
    <w:p w14:paraId="58697427" w14:textId="77777777" w:rsidR="00FE5EA4" w:rsidRPr="00FE5EA4" w:rsidRDefault="00FE5EA4" w:rsidP="00FE5EA4">
      <w:pPr>
        <w:numPr>
          <w:ilvl w:val="0"/>
          <w:numId w:val="49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Jak stanowi art. 93 ust. 7 ustawy o zużytym sprzęcie elektrycznym i elektronicznym, kary pieniężne stanowią dochód budżetu państwa i winny być uiszczone na rachunek bankowy wojewódzkiego inspektoratu Inspekcji Handlowej.</w:t>
      </w:r>
    </w:p>
    <w:p w14:paraId="6099D362" w14:textId="3BCD616D" w:rsidR="00FE5EA4" w:rsidRPr="00FE5EA4" w:rsidRDefault="00FE5EA4" w:rsidP="00FE5EA4">
      <w:pPr>
        <w:numPr>
          <w:ilvl w:val="0"/>
          <w:numId w:val="49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Zgodnie z art. 94 ustawy o zużytym sprzęcie elektrycznym i elektronicznym w sprawach dotyczących administracyjnych kar pieniężnych stosuje się odpowiednio przepisy działu</w:t>
      </w:r>
      <w:r w:rsidRPr="00FE5EA4">
        <w:rPr>
          <w:rFonts w:ascii="Arial" w:hAnsi="Arial" w:cs="Arial"/>
          <w:szCs w:val="24"/>
        </w:rPr>
        <w:t xml:space="preserve"> </w:t>
      </w:r>
      <w:r w:rsidRPr="00FE5EA4">
        <w:rPr>
          <w:rFonts w:ascii="Arial" w:hAnsi="Arial" w:cs="Arial"/>
          <w:szCs w:val="24"/>
        </w:rPr>
        <w:t>III ustawy – Ordynacja podatkowa, z tym że uprawnienia organów podatkowych przysługują odpowiednio wojewódzkiemu inspektorowi ochrony środowiska oraz wojewódzkiemu inspektorowi inspekcji handlowej.</w:t>
      </w:r>
    </w:p>
    <w:p w14:paraId="084F40EE" w14:textId="77777777" w:rsidR="00FE5EA4" w:rsidRPr="00FE5EA4" w:rsidRDefault="00FE5EA4" w:rsidP="00FE5EA4">
      <w:pPr>
        <w:numPr>
          <w:ilvl w:val="0"/>
          <w:numId w:val="49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Na podstawie art. 127a § 1 kpa w trakcie biegu terminu do wniesienia odwołania strona może zrzec się prawa do wniesienia odwołania w formie oświadczenia złożonego</w:t>
      </w:r>
      <w:r w:rsidRPr="00FE5EA4">
        <w:rPr>
          <w:rFonts w:ascii="Arial" w:hAnsi="Arial" w:cs="Arial"/>
          <w:szCs w:val="24"/>
        </w:rPr>
        <w:br/>
        <w:t>do Podkarpackiego Wojewódzkiego Inspektora Inspekcji Handlowej.</w:t>
      </w:r>
    </w:p>
    <w:p w14:paraId="637A9445" w14:textId="77777777" w:rsidR="00FE5EA4" w:rsidRPr="00FE5EA4" w:rsidRDefault="00FE5EA4" w:rsidP="00FE5EA4">
      <w:pPr>
        <w:numPr>
          <w:ilvl w:val="0"/>
          <w:numId w:val="49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Na podstawie art. 127a § 2 kpa z dniem doręczenia Podkarpackiemu Wojewódzkiemu Inspektorowi Inspekcji Handlowej oświadczenia o zrzeczeniu się prawa do wniesienia odwołania decyzja staje się ostateczna i prawomocna.</w:t>
      </w:r>
    </w:p>
    <w:p w14:paraId="7097028A" w14:textId="77777777" w:rsidR="00FE5EA4" w:rsidRPr="00FE5EA4" w:rsidRDefault="00FE5EA4" w:rsidP="00FE5EA4">
      <w:pPr>
        <w:numPr>
          <w:ilvl w:val="0"/>
          <w:numId w:val="49"/>
        </w:numPr>
        <w:spacing w:before="120" w:line="360" w:lineRule="auto"/>
        <w:ind w:left="641" w:hanging="357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t>Zgodnie z art. 130 § 1 kpa przed upływem terminu do wniesienia odwołania decyzja nie ulega wykonaniu. Wniesienie odwołania w terminie wstrzymuje wykonanie decyzji (art. 130 § 2 kpa).</w:t>
      </w:r>
    </w:p>
    <w:p w14:paraId="68D03CAE" w14:textId="1DF4FC2F" w:rsidR="008E6686" w:rsidRPr="00FE5EA4" w:rsidRDefault="008E6686" w:rsidP="008E6686">
      <w:pPr>
        <w:spacing w:before="240" w:line="360" w:lineRule="auto"/>
        <w:rPr>
          <w:rFonts w:ascii="Arial" w:hAnsi="Arial" w:cs="Arial"/>
          <w:b/>
          <w:szCs w:val="24"/>
          <w:u w:val="single"/>
        </w:rPr>
      </w:pPr>
      <w:r w:rsidRPr="00FE5EA4">
        <w:rPr>
          <w:rFonts w:ascii="Arial" w:hAnsi="Arial" w:cs="Arial"/>
          <w:b/>
          <w:szCs w:val="24"/>
          <w:u w:val="single"/>
        </w:rPr>
        <w:t>Otrzymują:</w:t>
      </w:r>
    </w:p>
    <w:p w14:paraId="00070541" w14:textId="77777777" w:rsidR="00FE5EA4" w:rsidRPr="00FE5EA4" w:rsidRDefault="00FE5EA4" w:rsidP="00FE5EA4">
      <w:pPr>
        <w:numPr>
          <w:ilvl w:val="0"/>
          <w:numId w:val="48"/>
        </w:numPr>
        <w:spacing w:before="120" w:line="360" w:lineRule="auto"/>
        <w:ind w:left="714" w:hanging="357"/>
        <w:rPr>
          <w:rFonts w:ascii="Arial" w:hAnsi="Arial" w:cs="Arial"/>
          <w:b/>
          <w:szCs w:val="24"/>
          <w:u w:val="single"/>
        </w:rPr>
      </w:pPr>
      <w:r w:rsidRPr="00FE5EA4">
        <w:rPr>
          <w:rFonts w:ascii="Arial" w:hAnsi="Arial" w:cs="Arial"/>
          <w:szCs w:val="24"/>
        </w:rPr>
        <w:t>Adresat,</w:t>
      </w:r>
    </w:p>
    <w:p w14:paraId="28613B33" w14:textId="77777777" w:rsidR="00FE5EA4" w:rsidRPr="00FE5EA4" w:rsidRDefault="00FE5EA4" w:rsidP="00FE5EA4">
      <w:pPr>
        <w:numPr>
          <w:ilvl w:val="0"/>
          <w:numId w:val="48"/>
        </w:numPr>
        <w:spacing w:before="120" w:line="360" w:lineRule="auto"/>
        <w:ind w:left="714" w:hanging="357"/>
        <w:rPr>
          <w:rFonts w:ascii="Arial" w:hAnsi="Arial" w:cs="Arial"/>
          <w:b/>
          <w:szCs w:val="24"/>
          <w:u w:val="single"/>
        </w:rPr>
      </w:pPr>
      <w:r w:rsidRPr="00FE5EA4">
        <w:rPr>
          <w:rFonts w:ascii="Arial" w:hAnsi="Arial" w:cs="Arial"/>
          <w:szCs w:val="24"/>
        </w:rPr>
        <w:t>Wydz. BA;</w:t>
      </w:r>
    </w:p>
    <w:p w14:paraId="3528C9ED" w14:textId="77777777" w:rsidR="00FE5EA4" w:rsidRPr="00FE5EA4" w:rsidRDefault="00FE5EA4" w:rsidP="00FE5EA4">
      <w:pPr>
        <w:numPr>
          <w:ilvl w:val="0"/>
          <w:numId w:val="48"/>
        </w:numPr>
        <w:spacing w:before="120" w:line="360" w:lineRule="auto"/>
        <w:ind w:left="714" w:hanging="357"/>
        <w:rPr>
          <w:rFonts w:ascii="Arial" w:hAnsi="Arial" w:cs="Arial"/>
          <w:b/>
          <w:szCs w:val="24"/>
          <w:u w:val="single"/>
        </w:rPr>
      </w:pPr>
      <w:r w:rsidRPr="00FE5EA4">
        <w:rPr>
          <w:rFonts w:ascii="Arial" w:hAnsi="Arial" w:cs="Arial"/>
          <w:szCs w:val="24"/>
        </w:rPr>
        <w:t>aa (KH/</w:t>
      </w:r>
      <w:proofErr w:type="spellStart"/>
      <w:r w:rsidRPr="00FE5EA4">
        <w:rPr>
          <w:rFonts w:ascii="Arial" w:hAnsi="Arial" w:cs="Arial"/>
          <w:szCs w:val="24"/>
        </w:rPr>
        <w:t>afw</w:t>
      </w:r>
      <w:proofErr w:type="spellEnd"/>
      <w:r w:rsidRPr="00FE5EA4">
        <w:rPr>
          <w:rFonts w:ascii="Arial" w:hAnsi="Arial" w:cs="Arial"/>
          <w:szCs w:val="24"/>
        </w:rPr>
        <w:t>; PO/M.C.).</w:t>
      </w:r>
    </w:p>
    <w:p w14:paraId="45A6F4A7" w14:textId="082D4838" w:rsidR="003B7C7E" w:rsidRPr="00FE5EA4" w:rsidRDefault="003B7C7E" w:rsidP="003B7C7E">
      <w:pPr>
        <w:spacing w:before="240" w:line="360" w:lineRule="auto"/>
        <w:rPr>
          <w:rFonts w:ascii="Arial" w:hAnsi="Arial" w:cs="Arial"/>
          <w:szCs w:val="24"/>
        </w:rPr>
      </w:pPr>
      <w:r w:rsidRPr="00FE5EA4">
        <w:rPr>
          <w:rFonts w:ascii="Arial" w:hAnsi="Arial" w:cs="Arial"/>
          <w:szCs w:val="24"/>
        </w:rPr>
        <w:lastRenderedPageBreak/>
        <w:t>PODKARPACKI WOJEWÓDZKI INSPEKTOR INSPEKCJI HANDLOWEJ Jerzy Szczepański</w:t>
      </w:r>
    </w:p>
    <w:sectPr w:rsidR="003B7C7E" w:rsidRPr="00FE5EA4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FC28" w14:textId="77777777" w:rsidR="00636659" w:rsidRDefault="00636659">
      <w:r>
        <w:separator/>
      </w:r>
    </w:p>
  </w:endnote>
  <w:endnote w:type="continuationSeparator" w:id="0">
    <w:p w14:paraId="1BA4F86E" w14:textId="77777777" w:rsidR="00636659" w:rsidRDefault="0063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407F" w14:textId="77777777" w:rsidR="00636659" w:rsidRDefault="00636659">
      <w:r>
        <w:separator/>
      </w:r>
    </w:p>
  </w:footnote>
  <w:footnote w:type="continuationSeparator" w:id="0">
    <w:p w14:paraId="1FA8942E" w14:textId="77777777" w:rsidR="00636659" w:rsidRDefault="00636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21E"/>
    <w:multiLevelType w:val="hybridMultilevel"/>
    <w:tmpl w:val="A1C0F5D0"/>
    <w:lvl w:ilvl="0" w:tplc="B2420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9B0"/>
    <w:multiLevelType w:val="hybridMultilevel"/>
    <w:tmpl w:val="DD2A3B1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C664F"/>
    <w:multiLevelType w:val="hybridMultilevel"/>
    <w:tmpl w:val="65920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B8B"/>
    <w:multiLevelType w:val="hybridMultilevel"/>
    <w:tmpl w:val="26003D7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50C3"/>
    <w:multiLevelType w:val="hybridMultilevel"/>
    <w:tmpl w:val="5B1A762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BBC8741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51D9A"/>
    <w:multiLevelType w:val="hybridMultilevel"/>
    <w:tmpl w:val="BE80D4F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F807D9"/>
    <w:multiLevelType w:val="hybridMultilevel"/>
    <w:tmpl w:val="9E0A966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6D09"/>
    <w:multiLevelType w:val="hybridMultilevel"/>
    <w:tmpl w:val="84CE7B74"/>
    <w:lvl w:ilvl="0" w:tplc="77EE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23BC5"/>
    <w:multiLevelType w:val="hybridMultilevel"/>
    <w:tmpl w:val="4CC6971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660A4"/>
    <w:multiLevelType w:val="hybridMultilevel"/>
    <w:tmpl w:val="97BC8F4E"/>
    <w:lvl w:ilvl="0" w:tplc="D780046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C0E4C"/>
    <w:multiLevelType w:val="hybridMultilevel"/>
    <w:tmpl w:val="5CC2E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82354"/>
    <w:multiLevelType w:val="hybridMultilevel"/>
    <w:tmpl w:val="FBC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BA7D9D"/>
    <w:multiLevelType w:val="hybridMultilevel"/>
    <w:tmpl w:val="2EB64164"/>
    <w:lvl w:ilvl="0" w:tplc="737853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EEB472A"/>
    <w:multiLevelType w:val="hybridMultilevel"/>
    <w:tmpl w:val="B4F4A5D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C52A32"/>
    <w:multiLevelType w:val="hybridMultilevel"/>
    <w:tmpl w:val="06C40D04"/>
    <w:lvl w:ilvl="0" w:tplc="AFBC2B5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65C3B"/>
    <w:multiLevelType w:val="hybridMultilevel"/>
    <w:tmpl w:val="35CE68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D5590"/>
    <w:multiLevelType w:val="hybridMultilevel"/>
    <w:tmpl w:val="C622C0C0"/>
    <w:lvl w:ilvl="0" w:tplc="3066187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D0C02"/>
    <w:multiLevelType w:val="hybridMultilevel"/>
    <w:tmpl w:val="22A80F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9351BC9"/>
    <w:multiLevelType w:val="hybridMultilevel"/>
    <w:tmpl w:val="4E906B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328FA"/>
    <w:multiLevelType w:val="hybridMultilevel"/>
    <w:tmpl w:val="FEA6D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06361"/>
    <w:multiLevelType w:val="hybridMultilevel"/>
    <w:tmpl w:val="7AB840D2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4711A7"/>
    <w:multiLevelType w:val="hybridMultilevel"/>
    <w:tmpl w:val="D764B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5C28B9"/>
    <w:multiLevelType w:val="hybridMultilevel"/>
    <w:tmpl w:val="D8E6A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FD1822"/>
    <w:multiLevelType w:val="hybridMultilevel"/>
    <w:tmpl w:val="968E74D2"/>
    <w:lvl w:ilvl="0" w:tplc="022830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924FF"/>
    <w:multiLevelType w:val="hybridMultilevel"/>
    <w:tmpl w:val="1B609AC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A616FC"/>
    <w:multiLevelType w:val="hybridMultilevel"/>
    <w:tmpl w:val="E7A897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A52BC0"/>
    <w:multiLevelType w:val="hybridMultilevel"/>
    <w:tmpl w:val="428EB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7748D"/>
    <w:multiLevelType w:val="hybridMultilevel"/>
    <w:tmpl w:val="A3265712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8" w15:restartNumberingAfterBreak="0">
    <w:nsid w:val="39110B2D"/>
    <w:multiLevelType w:val="hybridMultilevel"/>
    <w:tmpl w:val="CEE23C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B60A7D"/>
    <w:multiLevelType w:val="hybridMultilevel"/>
    <w:tmpl w:val="2B84B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D24518"/>
    <w:multiLevelType w:val="hybridMultilevel"/>
    <w:tmpl w:val="B4329054"/>
    <w:lvl w:ilvl="0" w:tplc="737853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586758D"/>
    <w:multiLevelType w:val="hybridMultilevel"/>
    <w:tmpl w:val="D958AA0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D41A1D"/>
    <w:multiLevelType w:val="hybridMultilevel"/>
    <w:tmpl w:val="0C6E5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650BD"/>
    <w:multiLevelType w:val="hybridMultilevel"/>
    <w:tmpl w:val="33861AA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61F67"/>
    <w:multiLevelType w:val="hybridMultilevel"/>
    <w:tmpl w:val="B6DEF3A8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890D30"/>
    <w:multiLevelType w:val="hybridMultilevel"/>
    <w:tmpl w:val="23BADCB0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2B3D29"/>
    <w:multiLevelType w:val="hybridMultilevel"/>
    <w:tmpl w:val="35045564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434D58"/>
    <w:multiLevelType w:val="hybridMultilevel"/>
    <w:tmpl w:val="E81A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93179"/>
    <w:multiLevelType w:val="hybridMultilevel"/>
    <w:tmpl w:val="3F0860A4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A9A7D9D"/>
    <w:multiLevelType w:val="hybridMultilevel"/>
    <w:tmpl w:val="54E41B56"/>
    <w:lvl w:ilvl="0" w:tplc="EF761D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5B1C7B1F"/>
    <w:multiLevelType w:val="hybridMultilevel"/>
    <w:tmpl w:val="02467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61ED"/>
    <w:multiLevelType w:val="hybridMultilevel"/>
    <w:tmpl w:val="FCC6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F96F4F"/>
    <w:multiLevelType w:val="hybridMultilevel"/>
    <w:tmpl w:val="046AD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9A0C48"/>
    <w:multiLevelType w:val="hybridMultilevel"/>
    <w:tmpl w:val="C318FA2C"/>
    <w:lvl w:ilvl="0" w:tplc="12C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E1903"/>
    <w:multiLevelType w:val="hybridMultilevel"/>
    <w:tmpl w:val="A8E626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900AB1"/>
    <w:multiLevelType w:val="hybridMultilevel"/>
    <w:tmpl w:val="9D5EA01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4B6DC2"/>
    <w:multiLevelType w:val="hybridMultilevel"/>
    <w:tmpl w:val="34FE7090"/>
    <w:lvl w:ilvl="0" w:tplc="7F6CF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87458"/>
    <w:multiLevelType w:val="hybridMultilevel"/>
    <w:tmpl w:val="5A0A9A8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94796">
    <w:abstractNumId w:val="12"/>
  </w:num>
  <w:num w:numId="2" w16cid:durableId="1542784305">
    <w:abstractNumId w:val="23"/>
  </w:num>
  <w:num w:numId="3" w16cid:durableId="1539510796">
    <w:abstractNumId w:val="4"/>
  </w:num>
  <w:num w:numId="4" w16cid:durableId="188882686">
    <w:abstractNumId w:val="18"/>
  </w:num>
  <w:num w:numId="5" w16cid:durableId="863056680">
    <w:abstractNumId w:val="33"/>
  </w:num>
  <w:num w:numId="6" w16cid:durableId="1112555150">
    <w:abstractNumId w:val="8"/>
  </w:num>
  <w:num w:numId="7" w16cid:durableId="1429808703">
    <w:abstractNumId w:val="47"/>
  </w:num>
  <w:num w:numId="8" w16cid:durableId="1876454971">
    <w:abstractNumId w:val="15"/>
  </w:num>
  <w:num w:numId="9" w16cid:durableId="91320521">
    <w:abstractNumId w:val="46"/>
  </w:num>
  <w:num w:numId="10" w16cid:durableId="712073413">
    <w:abstractNumId w:val="24"/>
  </w:num>
  <w:num w:numId="11" w16cid:durableId="909001707">
    <w:abstractNumId w:val="41"/>
  </w:num>
  <w:num w:numId="12" w16cid:durableId="1397823153">
    <w:abstractNumId w:val="30"/>
  </w:num>
  <w:num w:numId="13" w16cid:durableId="1076971706">
    <w:abstractNumId w:val="11"/>
  </w:num>
  <w:num w:numId="14" w16cid:durableId="1188788367">
    <w:abstractNumId w:val="36"/>
  </w:num>
  <w:num w:numId="15" w16cid:durableId="1680545063">
    <w:abstractNumId w:val="13"/>
  </w:num>
  <w:num w:numId="16" w16cid:durableId="451288682">
    <w:abstractNumId w:val="14"/>
  </w:num>
  <w:num w:numId="17" w16cid:durableId="2073388627">
    <w:abstractNumId w:val="9"/>
  </w:num>
  <w:num w:numId="18" w16cid:durableId="1144081928">
    <w:abstractNumId w:val="5"/>
  </w:num>
  <w:num w:numId="19" w16cid:durableId="1582446117">
    <w:abstractNumId w:val="37"/>
  </w:num>
  <w:num w:numId="20" w16cid:durableId="1514951202">
    <w:abstractNumId w:val="32"/>
  </w:num>
  <w:num w:numId="21" w16cid:durableId="825821662">
    <w:abstractNumId w:val="26"/>
  </w:num>
  <w:num w:numId="22" w16cid:durableId="1271622603">
    <w:abstractNumId w:val="27"/>
  </w:num>
  <w:num w:numId="23" w16cid:durableId="456334128">
    <w:abstractNumId w:val="17"/>
  </w:num>
  <w:num w:numId="24" w16cid:durableId="1081411452">
    <w:abstractNumId w:val="29"/>
  </w:num>
  <w:num w:numId="25" w16cid:durableId="1185628574">
    <w:abstractNumId w:val="44"/>
  </w:num>
  <w:num w:numId="26" w16cid:durableId="191576814">
    <w:abstractNumId w:val="31"/>
  </w:num>
  <w:num w:numId="27" w16cid:durableId="1779138292">
    <w:abstractNumId w:val="25"/>
  </w:num>
  <w:num w:numId="28" w16cid:durableId="513351103">
    <w:abstractNumId w:val="39"/>
  </w:num>
  <w:num w:numId="29" w16cid:durableId="1502430855">
    <w:abstractNumId w:val="35"/>
  </w:num>
  <w:num w:numId="30" w16cid:durableId="1774590205">
    <w:abstractNumId w:val="42"/>
  </w:num>
  <w:num w:numId="31" w16cid:durableId="1673993190">
    <w:abstractNumId w:val="40"/>
  </w:num>
  <w:num w:numId="32" w16cid:durableId="148332855">
    <w:abstractNumId w:val="20"/>
  </w:num>
  <w:num w:numId="33" w16cid:durableId="935016388">
    <w:abstractNumId w:val="21"/>
  </w:num>
  <w:num w:numId="34" w16cid:durableId="351494802">
    <w:abstractNumId w:val="22"/>
  </w:num>
  <w:num w:numId="35" w16cid:durableId="1095321288">
    <w:abstractNumId w:val="45"/>
  </w:num>
  <w:num w:numId="36" w16cid:durableId="879630112">
    <w:abstractNumId w:val="2"/>
  </w:num>
  <w:num w:numId="37" w16cid:durableId="1857190668">
    <w:abstractNumId w:val="19"/>
  </w:num>
  <w:num w:numId="38" w16cid:durableId="1265575815">
    <w:abstractNumId w:val="38"/>
  </w:num>
  <w:num w:numId="39" w16cid:durableId="829951605">
    <w:abstractNumId w:val="16"/>
  </w:num>
  <w:num w:numId="40" w16cid:durableId="1181621499">
    <w:abstractNumId w:val="1"/>
  </w:num>
  <w:num w:numId="41" w16cid:durableId="35399257">
    <w:abstractNumId w:val="10"/>
  </w:num>
  <w:num w:numId="42" w16cid:durableId="1497988112">
    <w:abstractNumId w:val="34"/>
  </w:num>
  <w:num w:numId="43" w16cid:durableId="10398146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84384263">
    <w:abstractNumId w:val="0"/>
  </w:num>
  <w:num w:numId="45" w16cid:durableId="1631399745">
    <w:abstractNumId w:val="6"/>
  </w:num>
  <w:num w:numId="46" w16cid:durableId="907224449">
    <w:abstractNumId w:val="7"/>
  </w:num>
  <w:num w:numId="47" w16cid:durableId="437722877">
    <w:abstractNumId w:val="3"/>
  </w:num>
  <w:num w:numId="48" w16cid:durableId="1888250414">
    <w:abstractNumId w:val="43"/>
  </w:num>
  <w:num w:numId="49" w16cid:durableId="2795803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07EAC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53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E5F9F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0E5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5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02D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686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86B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05E0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5602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6D1D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5FA0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2967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24AC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6AA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871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5931"/>
    <w:rsid w:val="00FE5D0F"/>
    <w:rsid w:val="00FE5EA4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uiPriority w:val="99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paragraph" w:styleId="Tekstpodstawowywcity">
    <w:name w:val="Body Text Indent"/>
    <w:basedOn w:val="Normalny"/>
    <w:link w:val="TekstpodstawowywcityZnak"/>
    <w:rsid w:val="00E736AA"/>
    <w:pPr>
      <w:ind w:right="72" w:firstLine="708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36A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736AA"/>
    <w:pPr>
      <w:tabs>
        <w:tab w:val="left" w:pos="9000"/>
      </w:tabs>
      <w:ind w:right="72" w:firstLine="348"/>
      <w:jc w:val="both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36AA"/>
    <w:rPr>
      <w:sz w:val="24"/>
      <w:szCs w:val="24"/>
    </w:rPr>
  </w:style>
  <w:style w:type="character" w:customStyle="1" w:styleId="TekstpodstawowyZnak">
    <w:name w:val="Tekst podstawowy Znak"/>
    <w:link w:val="Tekstpodstawowy"/>
    <w:rsid w:val="00E736AA"/>
    <w:rPr>
      <w:sz w:val="28"/>
    </w:rPr>
  </w:style>
  <w:style w:type="paragraph" w:customStyle="1" w:styleId="Preformatted">
    <w:name w:val="Preformatted"/>
    <w:basedOn w:val="Normalny"/>
    <w:link w:val="PreformattedZnak"/>
    <w:rsid w:val="00E736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character" w:customStyle="1" w:styleId="PreformattedZnak">
    <w:name w:val="Preformatted Znak"/>
    <w:link w:val="Preformatted"/>
    <w:rsid w:val="00E736AA"/>
    <w:rPr>
      <w:rFonts w:ascii="Courier New" w:hAnsi="Courier New"/>
      <w:snapToGrid w:val="0"/>
    </w:rPr>
  </w:style>
  <w:style w:type="paragraph" w:customStyle="1" w:styleId="Domynie">
    <w:name w:val="Domy徑nie"/>
    <w:uiPriority w:val="99"/>
    <w:rsid w:val="00E736AA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E736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736A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14271</Characters>
  <Application>Microsoft Office Word</Application>
  <DocSecurity>2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cenowa nr DT.8361.67.2021</vt:lpstr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KH.8361.84.2021</dc:title>
  <dc:creator/>
  <cp:keywords>Decyzja;zużyty sprzęt elektryczny i elektroniczny</cp:keywords>
  <cp:lastModifiedBy/>
  <cp:revision>1</cp:revision>
  <dcterms:created xsi:type="dcterms:W3CDTF">2022-08-26T12:03:00Z</dcterms:created>
  <dcterms:modified xsi:type="dcterms:W3CDTF">2022-08-26T12:03:00Z</dcterms:modified>
</cp:coreProperties>
</file>