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91600" w14:textId="0D56E168" w:rsidR="00D47CCF" w:rsidRPr="0024118E" w:rsidRDefault="00415701" w:rsidP="002C0D5D">
      <w:pPr>
        <w:spacing w:line="360" w:lineRule="auto"/>
        <w:jc w:val="both"/>
        <w:rPr>
          <w:sz w:val="32"/>
          <w:szCs w:val="32"/>
        </w:rPr>
      </w:pPr>
      <w:r>
        <w:rPr>
          <w:sz w:val="32"/>
          <w:szCs w:val="32"/>
        </w:rPr>
        <w:t xml:space="preserve">SPÓŁKI Z GRUPY KAPITAŁOWEJ </w:t>
      </w:r>
      <w:r w:rsidR="00990909">
        <w:rPr>
          <w:sz w:val="32"/>
          <w:szCs w:val="32"/>
        </w:rPr>
        <w:t>HRE INVESTMENT</w:t>
      </w:r>
      <w:r w:rsidR="003A1933">
        <w:rPr>
          <w:sz w:val="32"/>
          <w:szCs w:val="32"/>
        </w:rPr>
        <w:t>S</w:t>
      </w:r>
      <w:r w:rsidR="003E6D6E">
        <w:rPr>
          <w:sz w:val="32"/>
          <w:szCs w:val="32"/>
        </w:rPr>
        <w:t xml:space="preserve"> – </w:t>
      </w:r>
      <w:r w:rsidR="00806C25">
        <w:rPr>
          <w:sz w:val="32"/>
          <w:szCs w:val="32"/>
        </w:rPr>
        <w:t xml:space="preserve">ZARZUTY </w:t>
      </w:r>
      <w:r w:rsidR="00990909">
        <w:rPr>
          <w:sz w:val="32"/>
          <w:szCs w:val="32"/>
        </w:rPr>
        <w:t>PREZES</w:t>
      </w:r>
      <w:r w:rsidR="00806C25">
        <w:rPr>
          <w:sz w:val="32"/>
          <w:szCs w:val="32"/>
        </w:rPr>
        <w:t>A</w:t>
      </w:r>
      <w:r w:rsidR="00990909">
        <w:rPr>
          <w:sz w:val="32"/>
          <w:szCs w:val="32"/>
        </w:rPr>
        <w:t xml:space="preserve"> UOKIK</w:t>
      </w:r>
    </w:p>
    <w:p w14:paraId="7F5A4DDF" w14:textId="6B975E12" w:rsidR="003A1933" w:rsidRPr="006A0ADA" w:rsidRDefault="001D44EE" w:rsidP="00806C25">
      <w:pPr>
        <w:pStyle w:val="Akapitzlist"/>
        <w:numPr>
          <w:ilvl w:val="0"/>
          <w:numId w:val="6"/>
        </w:numPr>
        <w:shd w:val="clear" w:color="auto" w:fill="FFFFFF"/>
        <w:spacing w:before="100" w:beforeAutospacing="1" w:line="360" w:lineRule="auto"/>
        <w:ind w:left="714" w:hanging="357"/>
        <w:contextualSpacing w:val="0"/>
        <w:jc w:val="both"/>
        <w:rPr>
          <w:rFonts w:cs="Tahoma"/>
          <w:b/>
          <w:bCs/>
          <w:color w:val="000000" w:themeColor="text1"/>
          <w:sz w:val="22"/>
          <w:lang w:eastAsia="en-GB"/>
        </w:rPr>
      </w:pPr>
      <w:bookmarkStart w:id="0" w:name="_GoBack"/>
      <w:r w:rsidRPr="003A1933">
        <w:rPr>
          <w:rFonts w:cs="Tahoma"/>
          <w:b/>
          <w:bCs/>
          <w:color w:val="000000" w:themeColor="text1"/>
          <w:sz w:val="22"/>
          <w:lang w:eastAsia="en-GB"/>
        </w:rPr>
        <w:t xml:space="preserve">Prezes UOKIK </w:t>
      </w:r>
      <w:r w:rsidR="00806C25">
        <w:rPr>
          <w:rFonts w:cs="Tahoma"/>
          <w:b/>
          <w:bCs/>
          <w:color w:val="000000" w:themeColor="text1"/>
          <w:sz w:val="22"/>
          <w:lang w:eastAsia="en-GB"/>
        </w:rPr>
        <w:t xml:space="preserve">Tomasz Chróstny </w:t>
      </w:r>
      <w:r w:rsidRPr="003A1933">
        <w:rPr>
          <w:rFonts w:cs="Tahoma"/>
          <w:b/>
          <w:bCs/>
          <w:color w:val="000000" w:themeColor="text1"/>
          <w:sz w:val="22"/>
          <w:lang w:eastAsia="en-GB"/>
        </w:rPr>
        <w:t xml:space="preserve">wszczął postępowanie przeciwko </w:t>
      </w:r>
      <w:r w:rsidR="00667B60">
        <w:rPr>
          <w:rFonts w:cs="Tahoma"/>
          <w:b/>
          <w:bCs/>
          <w:color w:val="000000" w:themeColor="text1"/>
          <w:sz w:val="22"/>
          <w:lang w:eastAsia="en-GB"/>
        </w:rPr>
        <w:t>trzem spółkom z grup</w:t>
      </w:r>
      <w:r w:rsidR="00C80068">
        <w:rPr>
          <w:rFonts w:cs="Tahoma"/>
          <w:b/>
          <w:bCs/>
          <w:color w:val="000000" w:themeColor="text1"/>
          <w:sz w:val="22"/>
          <w:lang w:eastAsia="en-GB"/>
        </w:rPr>
        <w:t xml:space="preserve">y kapitałowej </w:t>
      </w:r>
      <w:r w:rsidR="007B0C6B" w:rsidRPr="003A1933">
        <w:rPr>
          <w:rFonts w:cs="Tahoma"/>
          <w:b/>
          <w:bCs/>
          <w:color w:val="000000" w:themeColor="text1"/>
          <w:sz w:val="22"/>
          <w:lang w:eastAsia="en-GB"/>
        </w:rPr>
        <w:t>HRE Investments</w:t>
      </w:r>
      <w:r w:rsidR="00806C25">
        <w:rPr>
          <w:rFonts w:cs="Tahoma"/>
          <w:b/>
          <w:bCs/>
          <w:color w:val="000000" w:themeColor="text1"/>
          <w:sz w:val="22"/>
          <w:lang w:eastAsia="en-GB"/>
        </w:rPr>
        <w:t xml:space="preserve"> -</w:t>
      </w:r>
      <w:r w:rsidR="00330BA7" w:rsidRPr="00F86B02">
        <w:rPr>
          <w:b/>
          <w:sz w:val="22"/>
        </w:rPr>
        <w:t xml:space="preserve"> spółce-matce</w:t>
      </w:r>
      <w:r w:rsidR="00C140EA" w:rsidRPr="00C140EA">
        <w:rPr>
          <w:b/>
          <w:sz w:val="22"/>
        </w:rPr>
        <w:t>,</w:t>
      </w:r>
      <w:r w:rsidR="00C140EA">
        <w:t xml:space="preserve"> </w:t>
      </w:r>
      <w:r w:rsidR="007B0C6B" w:rsidRPr="003A1933">
        <w:rPr>
          <w:rFonts w:cs="Tahoma"/>
          <w:b/>
          <w:bCs/>
          <w:color w:val="000000" w:themeColor="text1"/>
          <w:sz w:val="22"/>
          <w:lang w:eastAsia="en-GB"/>
        </w:rPr>
        <w:t xml:space="preserve">Hreit oraz </w:t>
      </w:r>
      <w:r w:rsidR="007B0C6B" w:rsidRPr="003A1933">
        <w:rPr>
          <w:b/>
          <w:sz w:val="22"/>
        </w:rPr>
        <w:t>Heritage Real Estate</w:t>
      </w:r>
      <w:r w:rsidR="006C2779" w:rsidRPr="003A1933">
        <w:rPr>
          <w:b/>
          <w:sz w:val="22"/>
        </w:rPr>
        <w:t>.</w:t>
      </w:r>
      <w:r w:rsidR="003A1933" w:rsidRPr="003A1933">
        <w:rPr>
          <w:rFonts w:cs="Tahoma"/>
          <w:b/>
          <w:bCs/>
          <w:color w:val="000000" w:themeColor="text1"/>
          <w:sz w:val="22"/>
          <w:lang w:eastAsia="en-GB"/>
        </w:rPr>
        <w:t xml:space="preserve"> </w:t>
      </w:r>
      <w:r w:rsidR="00BE71AA" w:rsidRPr="003A1933">
        <w:rPr>
          <w:rFonts w:cs="Tahoma"/>
          <w:b/>
          <w:bCs/>
          <w:color w:val="000000" w:themeColor="text1"/>
          <w:sz w:val="22"/>
          <w:lang w:eastAsia="en-GB"/>
        </w:rPr>
        <w:t xml:space="preserve">Zarzuty </w:t>
      </w:r>
      <w:r w:rsidR="00DA018A">
        <w:rPr>
          <w:rFonts w:cs="Tahoma"/>
          <w:b/>
          <w:bCs/>
          <w:color w:val="000000" w:themeColor="text1"/>
          <w:sz w:val="22"/>
          <w:lang w:eastAsia="en-GB"/>
        </w:rPr>
        <w:t xml:space="preserve">postawiono </w:t>
      </w:r>
      <w:r w:rsidR="00BE71AA" w:rsidRPr="003A1933">
        <w:rPr>
          <w:rFonts w:cs="Tahoma"/>
          <w:b/>
          <w:bCs/>
          <w:color w:val="000000" w:themeColor="text1"/>
          <w:sz w:val="22"/>
          <w:lang w:eastAsia="en-GB"/>
        </w:rPr>
        <w:t>również dw</w:t>
      </w:r>
      <w:r w:rsidR="00DA018A">
        <w:rPr>
          <w:rFonts w:cs="Tahoma"/>
          <w:b/>
          <w:bCs/>
          <w:color w:val="000000" w:themeColor="text1"/>
          <w:sz w:val="22"/>
          <w:lang w:eastAsia="en-GB"/>
        </w:rPr>
        <w:t>óm</w:t>
      </w:r>
      <w:r w:rsidR="00BE71AA" w:rsidRPr="003A1933">
        <w:rPr>
          <w:rFonts w:cs="Tahoma"/>
          <w:b/>
          <w:bCs/>
          <w:color w:val="000000" w:themeColor="text1"/>
          <w:sz w:val="22"/>
          <w:lang w:eastAsia="en-GB"/>
        </w:rPr>
        <w:t xml:space="preserve"> osob</w:t>
      </w:r>
      <w:r w:rsidR="00DA018A">
        <w:rPr>
          <w:rFonts w:cs="Tahoma"/>
          <w:b/>
          <w:bCs/>
          <w:color w:val="000000" w:themeColor="text1"/>
          <w:sz w:val="22"/>
          <w:lang w:eastAsia="en-GB"/>
        </w:rPr>
        <w:t>om</w:t>
      </w:r>
      <w:r w:rsidR="00BE71AA" w:rsidRPr="003A1933">
        <w:rPr>
          <w:rFonts w:cs="Tahoma"/>
          <w:b/>
          <w:bCs/>
          <w:color w:val="000000" w:themeColor="text1"/>
          <w:sz w:val="22"/>
          <w:lang w:eastAsia="en-GB"/>
        </w:rPr>
        <w:t xml:space="preserve"> zarządzając</w:t>
      </w:r>
      <w:r w:rsidR="00DA018A">
        <w:rPr>
          <w:rFonts w:cs="Tahoma"/>
          <w:b/>
          <w:bCs/>
          <w:color w:val="000000" w:themeColor="text1"/>
          <w:sz w:val="22"/>
          <w:lang w:eastAsia="en-GB"/>
        </w:rPr>
        <w:t>ym</w:t>
      </w:r>
      <w:r w:rsidR="00BE71AA" w:rsidRPr="003A1933">
        <w:rPr>
          <w:rFonts w:cs="Tahoma"/>
          <w:b/>
          <w:bCs/>
          <w:color w:val="000000" w:themeColor="text1"/>
          <w:sz w:val="22"/>
          <w:lang w:eastAsia="en-GB"/>
        </w:rPr>
        <w:t xml:space="preserve"> tymi podmiotami.</w:t>
      </w:r>
    </w:p>
    <w:p w14:paraId="175585BA" w14:textId="39CCFBE8" w:rsidR="003A1933" w:rsidRDefault="001D44EE" w:rsidP="003A1933">
      <w:pPr>
        <w:pStyle w:val="Akapitzlist"/>
        <w:numPr>
          <w:ilvl w:val="0"/>
          <w:numId w:val="6"/>
        </w:numPr>
        <w:shd w:val="clear" w:color="auto" w:fill="FFFFFF"/>
        <w:spacing w:before="100" w:beforeAutospacing="1" w:after="240" w:line="360" w:lineRule="auto"/>
        <w:ind w:left="714" w:hanging="357"/>
        <w:jc w:val="both"/>
        <w:rPr>
          <w:rFonts w:cs="Tahoma"/>
          <w:b/>
          <w:bCs/>
          <w:color w:val="000000" w:themeColor="text1"/>
          <w:sz w:val="22"/>
          <w:lang w:eastAsia="en-GB"/>
        </w:rPr>
      </w:pPr>
      <w:r w:rsidRPr="003A1933">
        <w:rPr>
          <w:rFonts w:cs="Tahoma"/>
          <w:b/>
          <w:bCs/>
          <w:color w:val="000000" w:themeColor="text1"/>
          <w:sz w:val="22"/>
          <w:lang w:eastAsia="en-GB"/>
        </w:rPr>
        <w:t>Przedsiębiorcy mogl</w:t>
      </w:r>
      <w:r w:rsidR="003C6A1E" w:rsidRPr="003A1933">
        <w:rPr>
          <w:rFonts w:cs="Tahoma"/>
          <w:b/>
          <w:bCs/>
          <w:color w:val="000000" w:themeColor="text1"/>
          <w:sz w:val="22"/>
          <w:lang w:eastAsia="en-GB"/>
        </w:rPr>
        <w:t>i wprowadzać konsumentów w błąd</w:t>
      </w:r>
      <w:r w:rsidR="003A1933">
        <w:rPr>
          <w:rFonts w:cs="Tahoma"/>
          <w:b/>
          <w:bCs/>
          <w:color w:val="000000" w:themeColor="text1"/>
          <w:sz w:val="22"/>
          <w:lang w:eastAsia="en-GB"/>
        </w:rPr>
        <w:t>,</w:t>
      </w:r>
      <w:r w:rsidR="00624985" w:rsidRPr="003A1933">
        <w:rPr>
          <w:rFonts w:cs="Tahoma"/>
          <w:b/>
          <w:bCs/>
          <w:color w:val="000000" w:themeColor="text1"/>
          <w:sz w:val="22"/>
          <w:lang w:eastAsia="en-GB"/>
        </w:rPr>
        <w:t xml:space="preserve"> eksponując </w:t>
      </w:r>
      <w:r w:rsidR="00607B21">
        <w:rPr>
          <w:rFonts w:cs="Tahoma"/>
          <w:b/>
          <w:bCs/>
          <w:color w:val="000000" w:themeColor="text1"/>
          <w:sz w:val="22"/>
          <w:lang w:eastAsia="en-GB"/>
        </w:rPr>
        <w:t>przede wszystkim</w:t>
      </w:r>
      <w:r w:rsidR="00607B21" w:rsidRPr="003A1933">
        <w:rPr>
          <w:rFonts w:cs="Tahoma"/>
          <w:b/>
          <w:bCs/>
          <w:color w:val="000000" w:themeColor="text1"/>
          <w:sz w:val="22"/>
          <w:lang w:eastAsia="en-GB"/>
        </w:rPr>
        <w:t xml:space="preserve"> </w:t>
      </w:r>
      <w:r w:rsidR="00624985" w:rsidRPr="003A1933">
        <w:rPr>
          <w:rFonts w:cs="Tahoma"/>
          <w:b/>
          <w:bCs/>
          <w:color w:val="000000" w:themeColor="text1"/>
          <w:sz w:val="22"/>
          <w:lang w:eastAsia="en-GB"/>
        </w:rPr>
        <w:t>korzyści</w:t>
      </w:r>
      <w:r w:rsidR="003C6A1E" w:rsidRPr="003A1933">
        <w:rPr>
          <w:rFonts w:cs="Tahoma"/>
          <w:b/>
          <w:bCs/>
          <w:color w:val="000000" w:themeColor="text1"/>
          <w:sz w:val="22"/>
          <w:lang w:eastAsia="en-GB"/>
        </w:rPr>
        <w:t xml:space="preserve"> </w:t>
      </w:r>
      <w:r w:rsidR="000A7CB0" w:rsidRPr="003A1933">
        <w:rPr>
          <w:rFonts w:cs="Tahoma"/>
          <w:b/>
          <w:bCs/>
          <w:color w:val="000000" w:themeColor="text1"/>
          <w:sz w:val="22"/>
          <w:lang w:eastAsia="en-GB"/>
        </w:rPr>
        <w:t xml:space="preserve">inwestycji </w:t>
      </w:r>
      <w:r w:rsidR="003C6A1E" w:rsidRPr="003A1933">
        <w:rPr>
          <w:rFonts w:cs="Tahoma"/>
          <w:b/>
          <w:bCs/>
          <w:color w:val="000000" w:themeColor="text1"/>
          <w:sz w:val="22"/>
          <w:lang w:eastAsia="en-GB"/>
        </w:rPr>
        <w:t>w udziały</w:t>
      </w:r>
      <w:r w:rsidR="006C2779" w:rsidRPr="003A1933">
        <w:rPr>
          <w:rFonts w:cs="Tahoma"/>
          <w:b/>
          <w:bCs/>
          <w:color w:val="000000" w:themeColor="text1"/>
          <w:sz w:val="22"/>
          <w:lang w:eastAsia="en-GB"/>
        </w:rPr>
        <w:t xml:space="preserve"> spółek deweloperskich</w:t>
      </w:r>
      <w:r w:rsidR="003C6A1E" w:rsidRPr="003A1933">
        <w:rPr>
          <w:rFonts w:cs="Tahoma"/>
          <w:b/>
          <w:bCs/>
          <w:color w:val="000000" w:themeColor="text1"/>
          <w:sz w:val="22"/>
          <w:lang w:eastAsia="en-GB"/>
        </w:rPr>
        <w:t>.</w:t>
      </w:r>
      <w:r w:rsidR="003A1933" w:rsidRPr="003A1933">
        <w:rPr>
          <w:rFonts w:cs="Tahoma"/>
          <w:b/>
          <w:bCs/>
          <w:color w:val="000000" w:themeColor="text1"/>
          <w:sz w:val="22"/>
          <w:lang w:eastAsia="en-GB"/>
        </w:rPr>
        <w:t xml:space="preserve"> </w:t>
      </w:r>
    </w:p>
    <w:p w14:paraId="2F63C172" w14:textId="07E8D464" w:rsidR="00BE71AA" w:rsidRDefault="00BE71AA" w:rsidP="003A1933">
      <w:pPr>
        <w:pStyle w:val="Akapitzlist"/>
        <w:numPr>
          <w:ilvl w:val="0"/>
          <w:numId w:val="6"/>
        </w:numPr>
        <w:shd w:val="clear" w:color="auto" w:fill="FFFFFF"/>
        <w:spacing w:before="100" w:beforeAutospacing="1" w:after="240" w:line="360" w:lineRule="auto"/>
        <w:ind w:left="714" w:hanging="357"/>
        <w:jc w:val="both"/>
        <w:rPr>
          <w:rFonts w:cs="Tahoma"/>
          <w:b/>
          <w:bCs/>
          <w:color w:val="000000" w:themeColor="text1"/>
          <w:sz w:val="22"/>
          <w:lang w:eastAsia="en-GB"/>
        </w:rPr>
      </w:pPr>
      <w:r>
        <w:rPr>
          <w:rFonts w:cs="Tahoma"/>
          <w:b/>
          <w:bCs/>
          <w:color w:val="000000" w:themeColor="text1"/>
          <w:sz w:val="22"/>
          <w:lang w:eastAsia="en-GB"/>
        </w:rPr>
        <w:t>Ponadto wszczętych zostało 10 postępowań w sprawie nałożenia kary na spółki z grupy HRE Investments za nieudzielenie informacji w toku postępowania wyjaśniającego.</w:t>
      </w:r>
    </w:p>
    <w:p w14:paraId="2627CFA6" w14:textId="399B5D09" w:rsidR="00424480" w:rsidRDefault="0010559C" w:rsidP="00406ABC">
      <w:pPr>
        <w:overflowPunct w:val="0"/>
        <w:autoSpaceDE w:val="0"/>
        <w:autoSpaceDN w:val="0"/>
        <w:adjustRightInd w:val="0"/>
        <w:spacing w:after="240" w:line="360" w:lineRule="auto"/>
        <w:jc w:val="both"/>
        <w:rPr>
          <w:rFonts w:cs="Arial"/>
          <w:sz w:val="22"/>
          <w:shd w:val="clear" w:color="auto" w:fill="FFFFFF"/>
        </w:rPr>
      </w:pPr>
      <w:r>
        <w:rPr>
          <w:b/>
          <w:sz w:val="22"/>
        </w:rPr>
        <w:t>[Wa</w:t>
      </w:r>
      <w:r w:rsidR="00A65F20">
        <w:rPr>
          <w:b/>
          <w:sz w:val="22"/>
        </w:rPr>
        <w:t>rszawa,</w:t>
      </w:r>
      <w:r w:rsidR="006422DE">
        <w:rPr>
          <w:b/>
          <w:sz w:val="22"/>
        </w:rPr>
        <w:t xml:space="preserve"> </w:t>
      </w:r>
      <w:r w:rsidR="006C2C3D">
        <w:rPr>
          <w:b/>
          <w:sz w:val="22"/>
        </w:rPr>
        <w:t>27</w:t>
      </w:r>
      <w:r w:rsidR="00986C37">
        <w:rPr>
          <w:b/>
          <w:sz w:val="22"/>
        </w:rPr>
        <w:t xml:space="preserve"> </w:t>
      </w:r>
      <w:r w:rsidR="003E6D6E">
        <w:rPr>
          <w:b/>
          <w:sz w:val="22"/>
        </w:rPr>
        <w:t>lipc</w:t>
      </w:r>
      <w:r w:rsidR="00B075C5">
        <w:rPr>
          <w:b/>
          <w:sz w:val="22"/>
        </w:rPr>
        <w:t>a</w:t>
      </w:r>
      <w:r w:rsidR="007224B3">
        <w:rPr>
          <w:b/>
          <w:sz w:val="22"/>
        </w:rPr>
        <w:t xml:space="preserve"> </w:t>
      </w:r>
      <w:r w:rsidR="00986C37">
        <w:rPr>
          <w:b/>
          <w:sz w:val="22"/>
        </w:rPr>
        <w:t>20</w:t>
      </w:r>
      <w:r w:rsidR="00B075C5">
        <w:rPr>
          <w:b/>
          <w:sz w:val="22"/>
        </w:rPr>
        <w:t>22</w:t>
      </w:r>
      <w:r>
        <w:rPr>
          <w:b/>
          <w:sz w:val="22"/>
        </w:rPr>
        <w:t xml:space="preserve"> r.]</w:t>
      </w:r>
      <w:r w:rsidR="001A6E5B">
        <w:rPr>
          <w:sz w:val="22"/>
        </w:rPr>
        <w:t xml:space="preserve"> </w:t>
      </w:r>
      <w:r w:rsidR="004F4ECD">
        <w:rPr>
          <w:sz w:val="22"/>
        </w:rPr>
        <w:t>Przedsiębiorcy</w:t>
      </w:r>
      <w:r w:rsidR="003A1933">
        <w:rPr>
          <w:sz w:val="22"/>
        </w:rPr>
        <w:t>,</w:t>
      </w:r>
      <w:r w:rsidR="00EE5C04" w:rsidRPr="00834AC3">
        <w:rPr>
          <w:sz w:val="22"/>
        </w:rPr>
        <w:t xml:space="preserve"> w</w:t>
      </w:r>
      <w:r w:rsidR="007B0C6B">
        <w:rPr>
          <w:sz w:val="22"/>
        </w:rPr>
        <w:t>o</w:t>
      </w:r>
      <w:r w:rsidR="00EE5C04" w:rsidRPr="00834AC3">
        <w:rPr>
          <w:sz w:val="22"/>
        </w:rPr>
        <w:t>bec których toczy się postępowanie</w:t>
      </w:r>
      <w:r w:rsidR="003A1933">
        <w:rPr>
          <w:sz w:val="22"/>
        </w:rPr>
        <w:t>,</w:t>
      </w:r>
      <w:r w:rsidR="00EE5C04" w:rsidRPr="00834AC3">
        <w:rPr>
          <w:sz w:val="22"/>
        </w:rPr>
        <w:t xml:space="preserve"> </w:t>
      </w:r>
      <w:r w:rsidR="00DA018A">
        <w:rPr>
          <w:sz w:val="22"/>
        </w:rPr>
        <w:t xml:space="preserve">oferują konsumentom inwestycje w postaci </w:t>
      </w:r>
      <w:r w:rsidR="00FE1F4E">
        <w:rPr>
          <w:sz w:val="22"/>
        </w:rPr>
        <w:t xml:space="preserve">nabycia </w:t>
      </w:r>
      <w:r w:rsidR="00DA018A">
        <w:rPr>
          <w:sz w:val="22"/>
        </w:rPr>
        <w:t xml:space="preserve">udziałów </w:t>
      </w:r>
      <w:r w:rsidR="007D6A17">
        <w:rPr>
          <w:sz w:val="22"/>
        </w:rPr>
        <w:t>w spółkach celowych, które</w:t>
      </w:r>
      <w:r w:rsidR="001B28B5">
        <w:rPr>
          <w:sz w:val="22"/>
        </w:rPr>
        <w:t xml:space="preserve"> ma</w:t>
      </w:r>
      <w:r w:rsidR="007D6A17">
        <w:rPr>
          <w:sz w:val="22"/>
        </w:rPr>
        <w:t>ją</w:t>
      </w:r>
      <w:r w:rsidR="001B28B5">
        <w:rPr>
          <w:sz w:val="22"/>
        </w:rPr>
        <w:t xml:space="preserve"> realizować </w:t>
      </w:r>
      <w:r w:rsidR="0018375F">
        <w:rPr>
          <w:sz w:val="22"/>
        </w:rPr>
        <w:t>p</w:t>
      </w:r>
      <w:r w:rsidR="001B28B5">
        <w:rPr>
          <w:sz w:val="22"/>
        </w:rPr>
        <w:t>rojekt</w:t>
      </w:r>
      <w:r w:rsidR="007D6A17">
        <w:rPr>
          <w:sz w:val="22"/>
        </w:rPr>
        <w:t>y</w:t>
      </w:r>
      <w:r w:rsidR="001B28B5">
        <w:rPr>
          <w:sz w:val="22"/>
        </w:rPr>
        <w:t xml:space="preserve"> deweloperski</w:t>
      </w:r>
      <w:r w:rsidR="007D6A17">
        <w:rPr>
          <w:sz w:val="22"/>
        </w:rPr>
        <w:t>e</w:t>
      </w:r>
      <w:r w:rsidR="001B28B5">
        <w:rPr>
          <w:sz w:val="22"/>
        </w:rPr>
        <w:t xml:space="preserve">. </w:t>
      </w:r>
      <w:r w:rsidR="00424480" w:rsidRPr="00834AC3">
        <w:rPr>
          <w:rFonts w:cs="Arial"/>
          <w:sz w:val="22"/>
          <w:shd w:val="clear" w:color="auto" w:fill="FFFFFF"/>
        </w:rPr>
        <w:t>Zastrzeżenia Prezesa UOKiK wzbudziły</w:t>
      </w:r>
      <w:r w:rsidR="00624985">
        <w:rPr>
          <w:rFonts w:cs="Arial"/>
          <w:sz w:val="22"/>
          <w:shd w:val="clear" w:color="auto" w:fill="FFFFFF"/>
        </w:rPr>
        <w:t xml:space="preserve"> materiały informacyjne tych podmiotów</w:t>
      </w:r>
      <w:r w:rsidR="004F4ECD">
        <w:rPr>
          <w:rFonts w:cs="Arial"/>
          <w:sz w:val="22"/>
          <w:shd w:val="clear" w:color="auto" w:fill="FFFFFF"/>
        </w:rPr>
        <w:t xml:space="preserve">. </w:t>
      </w:r>
      <w:r w:rsidR="00406ABC" w:rsidRPr="00834AC3">
        <w:rPr>
          <w:rFonts w:cs="Arial"/>
          <w:sz w:val="22"/>
          <w:shd w:val="clear" w:color="auto" w:fill="FFFFFF"/>
        </w:rPr>
        <w:t>Przedstawiały</w:t>
      </w:r>
      <w:r w:rsidR="00834AC3" w:rsidRPr="00834AC3">
        <w:rPr>
          <w:rFonts w:cs="Arial"/>
          <w:sz w:val="22"/>
          <w:shd w:val="clear" w:color="auto" w:fill="FFFFFF"/>
        </w:rPr>
        <w:t xml:space="preserve"> one </w:t>
      </w:r>
      <w:r w:rsidR="00607B21">
        <w:rPr>
          <w:rFonts w:cs="Arial"/>
          <w:sz w:val="22"/>
          <w:shd w:val="clear" w:color="auto" w:fill="FFFFFF"/>
        </w:rPr>
        <w:t xml:space="preserve">przede wszystkim </w:t>
      </w:r>
      <w:r w:rsidR="00557F3D">
        <w:rPr>
          <w:rFonts w:cs="Arial"/>
          <w:sz w:val="22"/>
          <w:shd w:val="clear" w:color="auto" w:fill="FFFFFF"/>
        </w:rPr>
        <w:t>możliwe korzyści</w:t>
      </w:r>
      <w:r w:rsidR="003A1933">
        <w:rPr>
          <w:rFonts w:cs="Arial"/>
          <w:sz w:val="22"/>
          <w:shd w:val="clear" w:color="auto" w:fill="FFFFFF"/>
        </w:rPr>
        <w:t xml:space="preserve"> z inwestycji</w:t>
      </w:r>
      <w:r w:rsidR="007B0C6B">
        <w:rPr>
          <w:rFonts w:cs="Arial"/>
          <w:sz w:val="22"/>
          <w:shd w:val="clear" w:color="auto" w:fill="FFFFFF"/>
        </w:rPr>
        <w:t>, nie informowały natomiast</w:t>
      </w:r>
      <w:r w:rsidR="00607B21">
        <w:rPr>
          <w:rFonts w:cs="Arial"/>
          <w:sz w:val="22"/>
          <w:shd w:val="clear" w:color="auto" w:fill="FFFFFF"/>
        </w:rPr>
        <w:t xml:space="preserve"> </w:t>
      </w:r>
      <w:r w:rsidR="007B0C6B">
        <w:rPr>
          <w:rFonts w:cs="Arial"/>
          <w:sz w:val="22"/>
          <w:shd w:val="clear" w:color="auto" w:fill="FFFFFF"/>
        </w:rPr>
        <w:t xml:space="preserve">o możliwych </w:t>
      </w:r>
      <w:r w:rsidR="00607B21">
        <w:rPr>
          <w:rFonts w:cs="Arial"/>
          <w:sz w:val="22"/>
          <w:shd w:val="clear" w:color="auto" w:fill="FFFFFF"/>
        </w:rPr>
        <w:t xml:space="preserve">istotnych </w:t>
      </w:r>
      <w:r w:rsidR="007B0C6B">
        <w:rPr>
          <w:rFonts w:cs="Arial"/>
          <w:sz w:val="22"/>
          <w:shd w:val="clear" w:color="auto" w:fill="FFFFFF"/>
        </w:rPr>
        <w:t>ryzykach.</w:t>
      </w:r>
    </w:p>
    <w:p w14:paraId="71ADDC3D" w14:textId="41820F4A" w:rsidR="00990909" w:rsidRDefault="0026744C" w:rsidP="00406ABC">
      <w:pPr>
        <w:overflowPunct w:val="0"/>
        <w:autoSpaceDE w:val="0"/>
        <w:autoSpaceDN w:val="0"/>
        <w:adjustRightInd w:val="0"/>
        <w:spacing w:after="240" w:line="360" w:lineRule="auto"/>
        <w:jc w:val="both"/>
        <w:rPr>
          <w:sz w:val="22"/>
        </w:rPr>
      </w:pPr>
      <w:r>
        <w:rPr>
          <w:rFonts w:cs="Arial"/>
          <w:sz w:val="22"/>
          <w:shd w:val="clear" w:color="auto" w:fill="FFFFFF"/>
        </w:rPr>
        <w:t>Tymczasem</w:t>
      </w:r>
      <w:r w:rsidR="00806C25">
        <w:rPr>
          <w:rFonts w:cs="Arial"/>
          <w:sz w:val="22"/>
          <w:shd w:val="clear" w:color="auto" w:fill="FFFFFF"/>
        </w:rPr>
        <w:t>,</w:t>
      </w:r>
      <w:r>
        <w:rPr>
          <w:rFonts w:cs="Arial"/>
          <w:sz w:val="22"/>
          <w:shd w:val="clear" w:color="auto" w:fill="FFFFFF"/>
        </w:rPr>
        <w:t xml:space="preserve"> w</w:t>
      </w:r>
      <w:r w:rsidR="005A493B">
        <w:rPr>
          <w:rFonts w:cs="Arial"/>
          <w:sz w:val="22"/>
          <w:shd w:val="clear" w:color="auto" w:fill="FFFFFF"/>
        </w:rPr>
        <w:t xml:space="preserve"> przypadku</w:t>
      </w:r>
      <w:r>
        <w:rPr>
          <w:rFonts w:cs="Arial"/>
          <w:sz w:val="22"/>
          <w:shd w:val="clear" w:color="auto" w:fill="FFFFFF"/>
        </w:rPr>
        <w:t xml:space="preserve"> takiej inwestycji środki inwestorów nie są zabezpieczone w żaden sposób, </w:t>
      </w:r>
      <w:r w:rsidR="00A0665C">
        <w:rPr>
          <w:rFonts w:cs="Arial"/>
          <w:sz w:val="22"/>
          <w:shd w:val="clear" w:color="auto" w:fill="FFFFFF"/>
        </w:rPr>
        <w:t>poza zapewnieniami s</w:t>
      </w:r>
      <w:r w:rsidR="00876C7A">
        <w:rPr>
          <w:rFonts w:cs="Arial"/>
          <w:sz w:val="22"/>
          <w:shd w:val="clear" w:color="auto" w:fill="FFFFFF"/>
        </w:rPr>
        <w:t xml:space="preserve">półek </w:t>
      </w:r>
      <w:r>
        <w:rPr>
          <w:rFonts w:cs="Arial"/>
          <w:sz w:val="22"/>
          <w:shd w:val="clear" w:color="auto" w:fill="FFFFFF"/>
        </w:rPr>
        <w:t>nie ma również gwarancji ich zwrotu</w:t>
      </w:r>
      <w:r w:rsidR="00600408">
        <w:rPr>
          <w:rFonts w:cs="Arial"/>
          <w:sz w:val="22"/>
          <w:shd w:val="clear" w:color="auto" w:fill="FFFFFF"/>
        </w:rPr>
        <w:t xml:space="preserve">. Przykładowo </w:t>
      </w:r>
      <w:r>
        <w:rPr>
          <w:rFonts w:cs="Arial"/>
          <w:sz w:val="22"/>
          <w:shd w:val="clear" w:color="auto" w:fill="FFFFFF"/>
        </w:rPr>
        <w:t xml:space="preserve">nie </w:t>
      </w:r>
      <w:r w:rsidR="008832B6">
        <w:rPr>
          <w:rFonts w:cs="Arial"/>
          <w:sz w:val="22"/>
          <w:shd w:val="clear" w:color="auto" w:fill="FFFFFF"/>
        </w:rPr>
        <w:t>ma pewności czy</w:t>
      </w:r>
      <w:r w:rsidR="00330BA7" w:rsidRPr="00330BA7">
        <w:t xml:space="preserve"> </w:t>
      </w:r>
      <w:r w:rsidR="00330BA7" w:rsidRPr="00F86B02">
        <w:rPr>
          <w:sz w:val="22"/>
        </w:rPr>
        <w:t xml:space="preserve">udziałowcy, którzy ulokowali swoje </w:t>
      </w:r>
      <w:r w:rsidR="00806C25">
        <w:rPr>
          <w:sz w:val="22"/>
        </w:rPr>
        <w:t>pieniądze,</w:t>
      </w:r>
      <w:r w:rsidR="00330BA7" w:rsidRPr="00F86B02">
        <w:rPr>
          <w:sz w:val="22"/>
        </w:rPr>
        <w:t xml:space="preserve"> otrzymają obiecywany zysk</w:t>
      </w:r>
      <w:r>
        <w:rPr>
          <w:rFonts w:cs="Arial"/>
          <w:sz w:val="22"/>
          <w:shd w:val="clear" w:color="auto" w:fill="FFFFFF"/>
        </w:rPr>
        <w:t xml:space="preserve">. </w:t>
      </w:r>
      <w:r w:rsidR="006C2779">
        <w:rPr>
          <w:rFonts w:cs="Arial"/>
          <w:sz w:val="22"/>
          <w:shd w:val="clear" w:color="auto" w:fill="FFFFFF"/>
        </w:rPr>
        <w:t xml:space="preserve">Pieniądze </w:t>
      </w:r>
      <w:r>
        <w:rPr>
          <w:rFonts w:cs="Arial"/>
          <w:sz w:val="22"/>
          <w:shd w:val="clear" w:color="auto" w:fill="FFFFFF"/>
        </w:rPr>
        <w:t xml:space="preserve">wpłacone przez konsumentów nie są również </w:t>
      </w:r>
      <w:r w:rsidR="004F4ECD">
        <w:rPr>
          <w:rFonts w:cs="Arial"/>
          <w:sz w:val="22"/>
          <w:shd w:val="clear" w:color="auto" w:fill="FFFFFF"/>
        </w:rPr>
        <w:t>objęte</w:t>
      </w:r>
      <w:r>
        <w:rPr>
          <w:rFonts w:cs="Arial"/>
          <w:sz w:val="22"/>
          <w:shd w:val="clear" w:color="auto" w:fill="FFFFFF"/>
        </w:rPr>
        <w:t xml:space="preserve"> przepisami chron</w:t>
      </w:r>
      <w:r w:rsidR="003B5E35">
        <w:rPr>
          <w:rFonts w:cs="Arial"/>
          <w:sz w:val="22"/>
          <w:shd w:val="clear" w:color="auto" w:fill="FFFFFF"/>
        </w:rPr>
        <w:t>iącymi</w:t>
      </w:r>
      <w:r>
        <w:rPr>
          <w:rFonts w:cs="Arial"/>
          <w:sz w:val="22"/>
          <w:shd w:val="clear" w:color="auto" w:fill="FFFFFF"/>
        </w:rPr>
        <w:t xml:space="preserve"> nabywców </w:t>
      </w:r>
      <w:r w:rsidR="008832B6">
        <w:rPr>
          <w:rFonts w:cs="Arial"/>
          <w:sz w:val="22"/>
          <w:shd w:val="clear" w:color="auto" w:fill="FFFFFF"/>
        </w:rPr>
        <w:t>mieszkań</w:t>
      </w:r>
      <w:r w:rsidR="00557F3D">
        <w:rPr>
          <w:rFonts w:cs="Arial"/>
          <w:sz w:val="22"/>
          <w:shd w:val="clear" w:color="auto" w:fill="FFFFFF"/>
        </w:rPr>
        <w:t>,</w:t>
      </w:r>
      <w:r>
        <w:rPr>
          <w:rFonts w:cs="Arial"/>
          <w:sz w:val="22"/>
          <w:shd w:val="clear" w:color="auto" w:fill="FFFFFF"/>
        </w:rPr>
        <w:t xml:space="preserve"> ponieważ nie kupują oni lokali</w:t>
      </w:r>
      <w:r w:rsidR="003A1933">
        <w:rPr>
          <w:rFonts w:cs="Arial"/>
          <w:sz w:val="22"/>
          <w:shd w:val="clear" w:color="auto" w:fill="FFFFFF"/>
        </w:rPr>
        <w:t>,</w:t>
      </w:r>
      <w:r>
        <w:rPr>
          <w:rFonts w:cs="Arial"/>
          <w:sz w:val="22"/>
          <w:shd w:val="clear" w:color="auto" w:fill="FFFFFF"/>
        </w:rPr>
        <w:t xml:space="preserve"> lecz inwestują w akcj</w:t>
      </w:r>
      <w:r w:rsidR="006C2779">
        <w:rPr>
          <w:rFonts w:cs="Arial"/>
          <w:sz w:val="22"/>
          <w:shd w:val="clear" w:color="auto" w:fill="FFFFFF"/>
        </w:rPr>
        <w:t>e spółek</w:t>
      </w:r>
      <w:r>
        <w:rPr>
          <w:rFonts w:cs="Arial"/>
          <w:sz w:val="22"/>
          <w:shd w:val="clear" w:color="auto" w:fill="FFFFFF"/>
        </w:rPr>
        <w:t xml:space="preserve">, które mają je wybudować. </w:t>
      </w:r>
      <w:r w:rsidR="007D6A17" w:rsidRPr="00834AC3">
        <w:rPr>
          <w:sz w:val="22"/>
        </w:rPr>
        <w:t>W efekcie deweloperzy z grupy HRE Investments mogą realizować przedsięwzięcia bez angażowan</w:t>
      </w:r>
      <w:r w:rsidR="00406ABC">
        <w:rPr>
          <w:sz w:val="22"/>
        </w:rPr>
        <w:t>ia wła</w:t>
      </w:r>
      <w:r w:rsidR="00415701">
        <w:rPr>
          <w:sz w:val="22"/>
        </w:rPr>
        <w:t xml:space="preserve">snych środków finansowych, a </w:t>
      </w:r>
      <w:r w:rsidR="00406ABC">
        <w:rPr>
          <w:sz w:val="22"/>
        </w:rPr>
        <w:t>ryzyko</w:t>
      </w:r>
      <w:r w:rsidR="00415701">
        <w:rPr>
          <w:sz w:val="22"/>
        </w:rPr>
        <w:t xml:space="preserve"> niepowodzenia budowy lub sprzedaży mieszka</w:t>
      </w:r>
      <w:r w:rsidR="003E3F5F">
        <w:rPr>
          <w:sz w:val="22"/>
        </w:rPr>
        <w:t>ń</w:t>
      </w:r>
      <w:r w:rsidR="00624985">
        <w:rPr>
          <w:sz w:val="22"/>
        </w:rPr>
        <w:t xml:space="preserve"> </w:t>
      </w:r>
      <w:r w:rsidR="00406ABC">
        <w:rPr>
          <w:sz w:val="22"/>
        </w:rPr>
        <w:t xml:space="preserve">zostaje przerzucone na </w:t>
      </w:r>
      <w:r w:rsidR="003A1933">
        <w:rPr>
          <w:sz w:val="22"/>
        </w:rPr>
        <w:t>konsumentów-</w:t>
      </w:r>
      <w:r w:rsidR="00406ABC">
        <w:rPr>
          <w:sz w:val="22"/>
        </w:rPr>
        <w:t>inwestorów</w:t>
      </w:r>
      <w:r w:rsidR="00624985">
        <w:rPr>
          <w:sz w:val="22"/>
        </w:rPr>
        <w:t>.</w:t>
      </w:r>
    </w:p>
    <w:p w14:paraId="4117324E" w14:textId="39705F17" w:rsidR="00DE7B79" w:rsidRDefault="00DE7B79" w:rsidP="00DE7B79">
      <w:pPr>
        <w:spacing w:after="240" w:line="360" w:lineRule="auto"/>
        <w:jc w:val="both"/>
        <w:rPr>
          <w:color w:val="000000" w:themeColor="text1"/>
          <w:sz w:val="22"/>
        </w:rPr>
      </w:pPr>
      <w:r>
        <w:rPr>
          <w:sz w:val="22"/>
        </w:rPr>
        <w:t>-</w:t>
      </w:r>
      <w:r>
        <w:rPr>
          <w:color w:val="000000" w:themeColor="text1"/>
          <w:sz w:val="22"/>
        </w:rPr>
        <w:t xml:space="preserve"> </w:t>
      </w:r>
      <w:bookmarkStart w:id="1" w:name="_Hlk108740146"/>
      <w:r w:rsidR="003B77A8" w:rsidRPr="003B77A8">
        <w:rPr>
          <w:i/>
          <w:color w:val="000000" w:themeColor="text1"/>
          <w:sz w:val="22"/>
        </w:rPr>
        <w:t xml:space="preserve">Lokowanie środków w przedsięwzięcia inwestycyjne zawsze obarczone jest ryzykiem. Podobnie </w:t>
      </w:r>
      <w:r w:rsidR="003B77A8">
        <w:rPr>
          <w:i/>
          <w:color w:val="000000" w:themeColor="text1"/>
          <w:sz w:val="22"/>
        </w:rPr>
        <w:t xml:space="preserve">może być w przypadku nabycia instrumentów udziałowych proponowanych przez </w:t>
      </w:r>
      <w:r w:rsidR="0099326B" w:rsidRPr="00624985">
        <w:rPr>
          <w:i/>
          <w:color w:val="000000" w:themeColor="text1"/>
          <w:sz w:val="22"/>
        </w:rPr>
        <w:t>spółki z grupy HRE Investments</w:t>
      </w:r>
      <w:bookmarkStart w:id="2" w:name="_Hlk108740308"/>
      <w:r w:rsidRPr="00624985">
        <w:rPr>
          <w:i/>
          <w:color w:val="000000" w:themeColor="text1"/>
          <w:sz w:val="22"/>
        </w:rPr>
        <w:t xml:space="preserve">. Podkreślanie </w:t>
      </w:r>
      <w:r w:rsidR="006C2779" w:rsidRPr="00624985">
        <w:rPr>
          <w:i/>
          <w:color w:val="000000" w:themeColor="text1"/>
          <w:sz w:val="22"/>
        </w:rPr>
        <w:t>korzyści</w:t>
      </w:r>
      <w:r w:rsidR="009E60DE">
        <w:rPr>
          <w:i/>
          <w:color w:val="000000" w:themeColor="text1"/>
          <w:sz w:val="22"/>
        </w:rPr>
        <w:t xml:space="preserve"> z pominięciem ryzyk</w:t>
      </w:r>
      <w:r w:rsidRPr="00624985">
        <w:rPr>
          <w:i/>
          <w:color w:val="000000" w:themeColor="text1"/>
          <w:sz w:val="22"/>
        </w:rPr>
        <w:t xml:space="preserve"> </w:t>
      </w:r>
      <w:r w:rsidR="009E60DE">
        <w:rPr>
          <w:i/>
          <w:color w:val="000000" w:themeColor="text1"/>
          <w:sz w:val="22"/>
        </w:rPr>
        <w:t xml:space="preserve">inwestycji </w:t>
      </w:r>
      <w:r w:rsidRPr="00624985">
        <w:rPr>
          <w:i/>
          <w:color w:val="000000" w:themeColor="text1"/>
          <w:sz w:val="22"/>
        </w:rPr>
        <w:t xml:space="preserve">może powodować, że konsumenci będą przekonani o pewności zwrotu </w:t>
      </w:r>
      <w:r w:rsidR="009E60DE">
        <w:rPr>
          <w:i/>
          <w:color w:val="000000" w:themeColor="text1"/>
          <w:sz w:val="22"/>
        </w:rPr>
        <w:t>zainwestowanych</w:t>
      </w:r>
      <w:r w:rsidRPr="00624985">
        <w:rPr>
          <w:i/>
          <w:color w:val="000000" w:themeColor="text1"/>
          <w:sz w:val="22"/>
        </w:rPr>
        <w:t xml:space="preserve"> środków i tym samym mogą zostać wprowadz</w:t>
      </w:r>
      <w:r w:rsidR="003C6A1E" w:rsidRPr="00624985">
        <w:rPr>
          <w:i/>
          <w:color w:val="000000" w:themeColor="text1"/>
          <w:sz w:val="22"/>
        </w:rPr>
        <w:t>e</w:t>
      </w:r>
      <w:r w:rsidRPr="00624985">
        <w:rPr>
          <w:i/>
          <w:color w:val="000000" w:themeColor="text1"/>
          <w:sz w:val="22"/>
        </w:rPr>
        <w:t xml:space="preserve">ni w błąd. </w:t>
      </w:r>
      <w:bookmarkEnd w:id="2"/>
      <w:r w:rsidR="003C6A1E" w:rsidRPr="00624985">
        <w:rPr>
          <w:i/>
          <w:color w:val="000000" w:themeColor="text1"/>
          <w:sz w:val="22"/>
        </w:rPr>
        <w:t>Dlatego wszcząłe</w:t>
      </w:r>
      <w:r w:rsidRPr="00624985">
        <w:rPr>
          <w:i/>
          <w:color w:val="000000" w:themeColor="text1"/>
          <w:sz w:val="22"/>
        </w:rPr>
        <w:t xml:space="preserve">m postępowanie przeciwko </w:t>
      </w:r>
      <w:r w:rsidRPr="00624985">
        <w:rPr>
          <w:i/>
          <w:color w:val="000000" w:themeColor="text1"/>
          <w:sz w:val="22"/>
        </w:rPr>
        <w:lastRenderedPageBreak/>
        <w:t>trzem podmiotom</w:t>
      </w:r>
      <w:r w:rsidR="00557F3D" w:rsidRPr="00624985">
        <w:rPr>
          <w:i/>
          <w:color w:val="000000" w:themeColor="text1"/>
          <w:sz w:val="22"/>
        </w:rPr>
        <w:t>,</w:t>
      </w:r>
      <w:r w:rsidRPr="00624985">
        <w:rPr>
          <w:i/>
          <w:color w:val="000000" w:themeColor="text1"/>
          <w:sz w:val="22"/>
        </w:rPr>
        <w:t xml:space="preserve"> postawiłem również zarzuty dwóm</w:t>
      </w:r>
      <w:r w:rsidR="0099326B" w:rsidRPr="00624985">
        <w:rPr>
          <w:i/>
          <w:color w:val="000000" w:themeColor="text1"/>
          <w:sz w:val="22"/>
        </w:rPr>
        <w:t xml:space="preserve"> szefom</w:t>
      </w:r>
      <w:r w:rsidRPr="00624985">
        <w:rPr>
          <w:i/>
          <w:color w:val="000000" w:themeColor="text1"/>
          <w:sz w:val="22"/>
        </w:rPr>
        <w:t xml:space="preserve"> tych spółek</w:t>
      </w:r>
      <w:r>
        <w:rPr>
          <w:color w:val="000000" w:themeColor="text1"/>
          <w:sz w:val="22"/>
        </w:rPr>
        <w:t xml:space="preserve"> </w:t>
      </w:r>
      <w:bookmarkEnd w:id="1"/>
      <w:r>
        <w:rPr>
          <w:color w:val="000000" w:themeColor="text1"/>
          <w:sz w:val="22"/>
        </w:rPr>
        <w:t xml:space="preserve">– mówi Prezes UOKiK Tomasz Chróstny. </w:t>
      </w:r>
    </w:p>
    <w:p w14:paraId="2FA0C577" w14:textId="1E210667" w:rsidR="00871AEE" w:rsidRDefault="00871AEE" w:rsidP="00871AEE">
      <w:pPr>
        <w:overflowPunct w:val="0"/>
        <w:autoSpaceDE w:val="0"/>
        <w:autoSpaceDN w:val="0"/>
        <w:adjustRightInd w:val="0"/>
        <w:spacing w:after="240" w:line="360" w:lineRule="auto"/>
        <w:jc w:val="both"/>
        <w:rPr>
          <w:rFonts w:cs="Arial"/>
          <w:sz w:val="22"/>
          <w:shd w:val="clear" w:color="auto" w:fill="FFFFFF"/>
        </w:rPr>
      </w:pPr>
      <w:r>
        <w:rPr>
          <w:rFonts w:cs="Arial"/>
          <w:sz w:val="22"/>
          <w:shd w:val="clear" w:color="auto" w:fill="FFFFFF"/>
        </w:rPr>
        <w:t xml:space="preserve">Za naruszenie zbiorowych interesów konsumentów grozi kara finansowa do 10 proc. obrotu </w:t>
      </w:r>
      <w:r w:rsidR="003B77A8">
        <w:rPr>
          <w:rFonts w:cs="Arial"/>
          <w:sz w:val="22"/>
          <w:shd w:val="clear" w:color="auto" w:fill="FFFFFF"/>
        </w:rPr>
        <w:t>każdej z firm, którym zarzucono naruszenie prawa</w:t>
      </w:r>
      <w:r>
        <w:rPr>
          <w:rFonts w:cs="Arial"/>
          <w:sz w:val="22"/>
          <w:shd w:val="clear" w:color="auto" w:fill="FFFFFF"/>
        </w:rPr>
        <w:t xml:space="preserve">. Osobom zarządzającym grozi sankcja pieniężna do 2 mln zł. </w:t>
      </w:r>
    </w:p>
    <w:p w14:paraId="688CE4EB" w14:textId="1F5F04AD" w:rsidR="00EE5977" w:rsidRPr="006A0ADA" w:rsidRDefault="00EE5977" w:rsidP="00871AEE">
      <w:pPr>
        <w:overflowPunct w:val="0"/>
        <w:autoSpaceDE w:val="0"/>
        <w:autoSpaceDN w:val="0"/>
        <w:adjustRightInd w:val="0"/>
        <w:spacing w:after="240" w:line="360" w:lineRule="auto"/>
        <w:jc w:val="both"/>
        <w:rPr>
          <w:rFonts w:cs="Arial"/>
          <w:b/>
          <w:sz w:val="22"/>
          <w:shd w:val="clear" w:color="auto" w:fill="FFFFFF"/>
        </w:rPr>
      </w:pPr>
      <w:r w:rsidRPr="006A0ADA">
        <w:rPr>
          <w:rFonts w:cs="Arial"/>
          <w:b/>
          <w:sz w:val="22"/>
          <w:shd w:val="clear" w:color="auto" w:fill="FFFFFF"/>
        </w:rPr>
        <w:t>Brak współpracy w trakcie postępowania wyjaśniającego</w:t>
      </w:r>
    </w:p>
    <w:p w14:paraId="225C83C8" w14:textId="32993FD9" w:rsidR="00990909" w:rsidRPr="006A0ADA" w:rsidRDefault="00F00E6F" w:rsidP="00406ABC">
      <w:pPr>
        <w:overflowPunct w:val="0"/>
        <w:autoSpaceDE w:val="0"/>
        <w:autoSpaceDN w:val="0"/>
        <w:adjustRightInd w:val="0"/>
        <w:spacing w:after="240" w:line="360" w:lineRule="auto"/>
        <w:jc w:val="both"/>
        <w:rPr>
          <w:rFonts w:cs="Arial"/>
          <w:color w:val="000000" w:themeColor="text1"/>
          <w:sz w:val="22"/>
          <w:shd w:val="clear" w:color="auto" w:fill="FFFFFF"/>
        </w:rPr>
      </w:pPr>
      <w:r>
        <w:rPr>
          <w:color w:val="000000" w:themeColor="text1"/>
          <w:sz w:val="22"/>
        </w:rPr>
        <w:t>W</w:t>
      </w:r>
      <w:r w:rsidR="00BE71AA">
        <w:rPr>
          <w:color w:val="000000" w:themeColor="text1"/>
          <w:sz w:val="22"/>
        </w:rPr>
        <w:t xml:space="preserve"> trakcie postępowania wyjaśniającego</w:t>
      </w:r>
      <w:r w:rsidR="00C82410">
        <w:rPr>
          <w:color w:val="000000" w:themeColor="text1"/>
          <w:sz w:val="22"/>
        </w:rPr>
        <w:t>,</w:t>
      </w:r>
      <w:r w:rsidR="00BE71AA">
        <w:rPr>
          <w:color w:val="000000" w:themeColor="text1"/>
          <w:sz w:val="22"/>
        </w:rPr>
        <w:t xml:space="preserve"> Prezes Urzędu </w:t>
      </w:r>
      <w:r>
        <w:rPr>
          <w:color w:val="000000" w:themeColor="text1"/>
          <w:sz w:val="22"/>
        </w:rPr>
        <w:t xml:space="preserve">wezwał do udzielenia informacji </w:t>
      </w:r>
      <w:r w:rsidR="00F86B02">
        <w:rPr>
          <w:color w:val="000000" w:themeColor="text1"/>
          <w:sz w:val="22"/>
        </w:rPr>
        <w:t xml:space="preserve">i przekazania dokumentów </w:t>
      </w:r>
      <w:r w:rsidR="003B77A8">
        <w:rPr>
          <w:color w:val="000000" w:themeColor="text1"/>
          <w:sz w:val="22"/>
        </w:rPr>
        <w:t xml:space="preserve">przez </w:t>
      </w:r>
      <w:r w:rsidR="00871AEE">
        <w:rPr>
          <w:color w:val="000000" w:themeColor="text1"/>
          <w:sz w:val="22"/>
        </w:rPr>
        <w:t>HRE Investment</w:t>
      </w:r>
      <w:r w:rsidR="00806C25">
        <w:rPr>
          <w:color w:val="000000" w:themeColor="text1"/>
          <w:sz w:val="22"/>
        </w:rPr>
        <w:t>s</w:t>
      </w:r>
      <w:r w:rsidR="00871AEE">
        <w:rPr>
          <w:color w:val="000000" w:themeColor="text1"/>
          <w:sz w:val="22"/>
        </w:rPr>
        <w:t xml:space="preserve">, Hreit oraz </w:t>
      </w:r>
      <w:r>
        <w:rPr>
          <w:color w:val="000000" w:themeColor="text1"/>
          <w:sz w:val="22"/>
        </w:rPr>
        <w:t xml:space="preserve">osiem </w:t>
      </w:r>
      <w:r w:rsidR="00871AEE">
        <w:rPr>
          <w:color w:val="000000" w:themeColor="text1"/>
          <w:sz w:val="22"/>
        </w:rPr>
        <w:t xml:space="preserve">spółek z tej grupy kapitałowej (Apartamenty Senatorska, Apartamenty Barona, Lotnisko Park, </w:t>
      </w:r>
      <w:r w:rsidR="00EE5977">
        <w:rPr>
          <w:color w:val="000000" w:themeColor="text1"/>
          <w:sz w:val="22"/>
        </w:rPr>
        <w:t xml:space="preserve">Sikorskiego 36, </w:t>
      </w:r>
      <w:r w:rsidR="00871AEE">
        <w:rPr>
          <w:color w:val="000000" w:themeColor="text1"/>
          <w:sz w:val="22"/>
        </w:rPr>
        <w:t>BDC Development</w:t>
      </w:r>
      <w:r w:rsidR="00EE5977">
        <w:rPr>
          <w:color w:val="000000" w:themeColor="text1"/>
          <w:sz w:val="22"/>
        </w:rPr>
        <w:t>, North Star Development, South Star Development, West Star Development)</w:t>
      </w:r>
      <w:r w:rsidR="00991EFB">
        <w:rPr>
          <w:color w:val="000000" w:themeColor="text1"/>
          <w:sz w:val="22"/>
        </w:rPr>
        <w:t>.</w:t>
      </w:r>
      <w:r w:rsidR="00871AEE">
        <w:rPr>
          <w:color w:val="000000" w:themeColor="text1"/>
          <w:sz w:val="22"/>
        </w:rPr>
        <w:t xml:space="preserve"> Przedsiębiorcy </w:t>
      </w:r>
      <w:r w:rsidR="00806C25">
        <w:rPr>
          <w:color w:val="000000" w:themeColor="text1"/>
          <w:sz w:val="22"/>
        </w:rPr>
        <w:t xml:space="preserve">przez długi czas zwlekali z udzieleniem odpowiedzi i przekazaniem dokumentów, ostatecznie zrobili to ze znaczącym </w:t>
      </w:r>
      <w:r w:rsidR="00871AEE">
        <w:rPr>
          <w:color w:val="000000" w:themeColor="text1"/>
          <w:sz w:val="22"/>
        </w:rPr>
        <w:t>opóźnieniem</w:t>
      </w:r>
      <w:r w:rsidR="00F86B02">
        <w:rPr>
          <w:rStyle w:val="Odwoaniedokomentarza"/>
        </w:rPr>
        <w:t xml:space="preserve">, </w:t>
      </w:r>
      <w:r w:rsidR="00806C25">
        <w:rPr>
          <w:rStyle w:val="Odwoaniedokomentarza"/>
          <w:sz w:val="22"/>
          <w:szCs w:val="22"/>
        </w:rPr>
        <w:t>zaś</w:t>
      </w:r>
      <w:r w:rsidR="00F86B02">
        <w:rPr>
          <w:rStyle w:val="Odwoaniedokomentarza"/>
        </w:rPr>
        <w:t xml:space="preserve"> </w:t>
      </w:r>
      <w:r w:rsidR="003B77A8">
        <w:rPr>
          <w:color w:val="000000" w:themeColor="text1"/>
          <w:sz w:val="22"/>
        </w:rPr>
        <w:t xml:space="preserve">jeden z nich w ogóle nie zareagował </w:t>
      </w:r>
      <w:r w:rsidR="00871AEE">
        <w:rPr>
          <w:color w:val="000000" w:themeColor="text1"/>
          <w:sz w:val="22"/>
        </w:rPr>
        <w:t xml:space="preserve">na </w:t>
      </w:r>
      <w:r w:rsidR="003B77A8">
        <w:rPr>
          <w:color w:val="000000" w:themeColor="text1"/>
          <w:sz w:val="22"/>
        </w:rPr>
        <w:t>wezwanie</w:t>
      </w:r>
      <w:r w:rsidR="00871AEE">
        <w:rPr>
          <w:color w:val="000000" w:themeColor="text1"/>
          <w:sz w:val="22"/>
        </w:rPr>
        <w:t xml:space="preserve">. </w:t>
      </w:r>
      <w:r w:rsidR="00EE5977">
        <w:rPr>
          <w:color w:val="000000" w:themeColor="text1"/>
          <w:sz w:val="22"/>
        </w:rPr>
        <w:t>Dlateg</w:t>
      </w:r>
      <w:r w:rsidR="00C82410">
        <w:rPr>
          <w:color w:val="000000" w:themeColor="text1"/>
          <w:sz w:val="22"/>
        </w:rPr>
        <w:t>o wobec tych podmiotów zostały wszczęte postępowania</w:t>
      </w:r>
      <w:r w:rsidR="00EE5977">
        <w:rPr>
          <w:color w:val="000000" w:themeColor="text1"/>
          <w:sz w:val="22"/>
        </w:rPr>
        <w:t xml:space="preserve"> w sprawie nałożenia kary pieniężnej. </w:t>
      </w:r>
      <w:r w:rsidR="00EE5977" w:rsidRPr="006A0ADA">
        <w:rPr>
          <w:color w:val="000000" w:themeColor="text1"/>
          <w:sz w:val="22"/>
        </w:rPr>
        <w:t>Z</w:t>
      </w:r>
      <w:r w:rsidR="00EE5977" w:rsidRPr="006A0ADA">
        <w:rPr>
          <w:rFonts w:cs="Tahoma"/>
          <w:color w:val="000000" w:themeColor="text1"/>
          <w:sz w:val="22"/>
          <w:shd w:val="clear" w:color="auto" w:fill="FFFFFF"/>
        </w:rPr>
        <w:t>godnie z przepisami przedsiębiorca ma obowiązek współpracować z Prezesem UOKiK podczas postępowania wyjaśniającego – odpowiadać na zadane pytania, udostępniać dokumenty. Jeśli się od tego uchyla, grozi mu kara do 50 mln euro.</w:t>
      </w:r>
      <w:bookmarkEnd w:id="0"/>
    </w:p>
    <w:p w14:paraId="07058B35" w14:textId="77777777" w:rsidR="00B075C5" w:rsidRPr="005A6B17" w:rsidRDefault="00B075C5" w:rsidP="00B075C5">
      <w:pPr>
        <w:spacing w:after="120" w:line="276" w:lineRule="auto"/>
        <w:jc w:val="both"/>
        <w:rPr>
          <w:bCs/>
          <w:sz w:val="22"/>
        </w:rPr>
      </w:pPr>
      <w:r w:rsidRPr="005A6B17">
        <w:rPr>
          <w:rStyle w:val="Pogrubienie"/>
          <w:rFonts w:cs="Tahoma"/>
        </w:rPr>
        <w:t>Pomoc dla konsumentów:</w:t>
      </w:r>
      <w:r w:rsidRPr="005A6B17">
        <w:rPr>
          <w:szCs w:val="18"/>
        </w:rPr>
        <w:t xml:space="preserve"> </w:t>
      </w:r>
    </w:p>
    <w:p w14:paraId="7ABA2347" w14:textId="77777777" w:rsidR="00B075C5" w:rsidRPr="00B075C5" w:rsidRDefault="00B075C5" w:rsidP="00B075C5">
      <w:pPr>
        <w:spacing w:before="240" w:after="240" w:line="360" w:lineRule="auto"/>
        <w:rPr>
          <w:szCs w:val="18"/>
        </w:rPr>
      </w:pPr>
      <w:r w:rsidRPr="005A6B17">
        <w:rPr>
          <w:rFonts w:cs="Tahoma"/>
          <w:szCs w:val="18"/>
        </w:rPr>
        <w:t xml:space="preserve">Tel. 801 440 220 lub </w:t>
      </w:r>
      <w:r w:rsidR="003B1AE3">
        <w:t>222 66 76 76</w:t>
      </w:r>
      <w:r w:rsidRPr="005A6B17">
        <w:rPr>
          <w:rFonts w:cs="Tahoma"/>
          <w:szCs w:val="18"/>
        </w:rPr>
        <w:t xml:space="preserve"> – infolinia konsumencka</w:t>
      </w:r>
      <w:r w:rsidRPr="005A6B17">
        <w:rPr>
          <w:rFonts w:cs="Tahoma"/>
          <w:szCs w:val="18"/>
        </w:rPr>
        <w:br/>
        <w:t>E-mail:</w:t>
      </w:r>
      <w:r w:rsidRPr="005A6B17">
        <w:rPr>
          <w:szCs w:val="18"/>
        </w:rPr>
        <w:t xml:space="preserve"> </w:t>
      </w:r>
      <w:hyperlink r:id="rId8" w:history="1">
        <w:r w:rsidRPr="00D14EB6">
          <w:rPr>
            <w:rStyle w:val="Hipercze"/>
            <w:szCs w:val="18"/>
          </w:rPr>
          <w:t>porady@dlakonsumentow.pl</w:t>
        </w:r>
      </w:hyperlink>
      <w:r w:rsidRPr="005A6B17">
        <w:rPr>
          <w:szCs w:val="18"/>
        </w:rPr>
        <w:t xml:space="preserve"> </w:t>
      </w:r>
      <w:r w:rsidRPr="005A6B17">
        <w:rPr>
          <w:szCs w:val="18"/>
        </w:rPr>
        <w:br/>
      </w:r>
      <w:hyperlink r:id="rId9" w:history="1">
        <w:r w:rsidRPr="00D14EB6">
          <w:rPr>
            <w:rStyle w:val="Hipercze"/>
            <w:szCs w:val="18"/>
          </w:rPr>
          <w:t>Rzecznicy konsumentów</w:t>
        </w:r>
      </w:hyperlink>
      <w:r w:rsidR="009E558C">
        <w:rPr>
          <w:szCs w:val="18"/>
        </w:rPr>
        <w:t xml:space="preserve"> – w t</w:t>
      </w:r>
      <w:r w:rsidRPr="005A6B17">
        <w:rPr>
          <w:szCs w:val="18"/>
        </w:rPr>
        <w:t>woim mieście lub powiecie</w:t>
      </w:r>
    </w:p>
    <w:sectPr w:rsidR="00B075C5" w:rsidRPr="00B075C5" w:rsidSect="00240013">
      <w:headerReference w:type="default" r:id="rId10"/>
      <w:footerReference w:type="default" r:id="rId11"/>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997A7" w14:textId="77777777" w:rsidR="00F37388" w:rsidRDefault="00F37388">
      <w:r>
        <w:separator/>
      </w:r>
    </w:p>
  </w:endnote>
  <w:endnote w:type="continuationSeparator" w:id="0">
    <w:p w14:paraId="74A33FFA" w14:textId="77777777" w:rsidR="00F37388" w:rsidRDefault="00F3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3B39" w14:textId="77777777"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07AF78DA" wp14:editId="71BBF9F7">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14:paraId="721CC143"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r w:rsidR="00C21071" w:rsidRPr="00B512B5">
        <w:rPr>
          <w:rStyle w:val="u-linkcomplex-target"/>
          <w:rFonts w:asciiTheme="minorHAnsi" w:hAnsiTheme="minorHAnsi" w:cstheme="minorHAnsi"/>
          <w:color w:val="595959" w:themeColor="text1" w:themeTint="A6"/>
          <w:sz w:val="16"/>
          <w:szCs w:val="16"/>
          <w:u w:val="single"/>
          <w:lang w:val="pl-PL"/>
        </w:rPr>
        <w:t>UOKiKgovPL</w:t>
      </w:r>
    </w:hyperlink>
    <w:r w:rsidR="00360C66">
      <w:rPr>
        <w:rStyle w:val="u-linkcomplex-target"/>
        <w:rFonts w:asciiTheme="minorHAnsi" w:hAnsiTheme="minorHAnsi" w:cstheme="minorHAnsi"/>
        <w:color w:val="595959" w:themeColor="text1" w:themeTint="A6"/>
        <w:sz w:val="16"/>
        <w:szCs w:val="16"/>
        <w:u w:val="single"/>
        <w:lang w:val="pl-PL"/>
      </w:rPr>
      <w:br/>
    </w:r>
    <w:r w:rsidR="00360C66" w:rsidRPr="00360C66">
      <w:rPr>
        <w:rFonts w:asciiTheme="minorHAnsi" w:hAnsiTheme="minorHAnsi" w:cstheme="minorHAnsi"/>
        <w:color w:val="595959" w:themeColor="text1" w:themeTint="A6"/>
        <w:sz w:val="16"/>
        <w:szCs w:val="16"/>
        <w:lang w:val="pl-PL"/>
      </w:rPr>
      <w:t>Znajdziesz nas również na Instagramie: </w:t>
    </w:r>
    <w:hyperlink r:id="rId3" w:tgtFrame="_blank" w:history="1">
      <w:r w:rsidR="00360C66" w:rsidRPr="00360C6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A9DDC" w14:textId="77777777" w:rsidR="00F37388" w:rsidRDefault="00F37388">
      <w:r>
        <w:separator/>
      </w:r>
    </w:p>
  </w:footnote>
  <w:footnote w:type="continuationSeparator" w:id="0">
    <w:p w14:paraId="3B9F06CA" w14:textId="77777777" w:rsidR="00F37388" w:rsidRDefault="00F3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62B09" w14:textId="77777777" w:rsidR="0059016B" w:rsidRDefault="00C81210" w:rsidP="0041396E">
    <w:pPr>
      <w:pStyle w:val="Nagwek"/>
      <w:tabs>
        <w:tab w:val="clear" w:pos="9072"/>
      </w:tabs>
    </w:pPr>
    <w:r>
      <w:rPr>
        <w:noProof/>
        <w:lang w:val="pl-PL" w:eastAsia="pl-PL"/>
      </w:rPr>
      <w:drawing>
        <wp:inline distT="0" distB="0" distL="0" distR="0" wp14:anchorId="5DB00B99" wp14:editId="45B9E5BE">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F6C9B"/>
    <w:multiLevelType w:val="hybridMultilevel"/>
    <w:tmpl w:val="9F4258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3395D"/>
    <w:multiLevelType w:val="hybridMultilevel"/>
    <w:tmpl w:val="FBC6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86160A"/>
    <w:multiLevelType w:val="hybridMultilevel"/>
    <w:tmpl w:val="5B64A2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7"/>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FA"/>
    <w:rsid w:val="00002C19"/>
    <w:rsid w:val="0000713A"/>
    <w:rsid w:val="00007E00"/>
    <w:rsid w:val="00011AF2"/>
    <w:rsid w:val="00017922"/>
    <w:rsid w:val="00023634"/>
    <w:rsid w:val="0002523D"/>
    <w:rsid w:val="00042F96"/>
    <w:rsid w:val="00043C4C"/>
    <w:rsid w:val="000651E9"/>
    <w:rsid w:val="00073AA7"/>
    <w:rsid w:val="000839F7"/>
    <w:rsid w:val="000A74FA"/>
    <w:rsid w:val="000A7CB0"/>
    <w:rsid w:val="000B149D"/>
    <w:rsid w:val="000B1AC5"/>
    <w:rsid w:val="000B7247"/>
    <w:rsid w:val="000D070E"/>
    <w:rsid w:val="001028AE"/>
    <w:rsid w:val="0010559C"/>
    <w:rsid w:val="00107844"/>
    <w:rsid w:val="00120FBD"/>
    <w:rsid w:val="0012424D"/>
    <w:rsid w:val="0013159A"/>
    <w:rsid w:val="00135455"/>
    <w:rsid w:val="00143310"/>
    <w:rsid w:val="00144E9C"/>
    <w:rsid w:val="0014549E"/>
    <w:rsid w:val="00161094"/>
    <w:rsid w:val="00163DF9"/>
    <w:rsid w:val="001666D6"/>
    <w:rsid w:val="00166B5D"/>
    <w:rsid w:val="001675EF"/>
    <w:rsid w:val="0017028A"/>
    <w:rsid w:val="0018375F"/>
    <w:rsid w:val="00190D5A"/>
    <w:rsid w:val="001979B5"/>
    <w:rsid w:val="001A5F7C"/>
    <w:rsid w:val="001A6E5B"/>
    <w:rsid w:val="001A7451"/>
    <w:rsid w:val="001B28B5"/>
    <w:rsid w:val="001C1FAD"/>
    <w:rsid w:val="001D44EE"/>
    <w:rsid w:val="001E188E"/>
    <w:rsid w:val="001E4F92"/>
    <w:rsid w:val="001F2659"/>
    <w:rsid w:val="001F4A73"/>
    <w:rsid w:val="001F5852"/>
    <w:rsid w:val="00205580"/>
    <w:rsid w:val="002157BB"/>
    <w:rsid w:val="002262B5"/>
    <w:rsid w:val="002268F6"/>
    <w:rsid w:val="0023138D"/>
    <w:rsid w:val="00240013"/>
    <w:rsid w:val="0024118E"/>
    <w:rsid w:val="00241824"/>
    <w:rsid w:val="00241BAC"/>
    <w:rsid w:val="00251B53"/>
    <w:rsid w:val="00260382"/>
    <w:rsid w:val="00266CB4"/>
    <w:rsid w:val="0026744C"/>
    <w:rsid w:val="00267DD1"/>
    <w:rsid w:val="002801AA"/>
    <w:rsid w:val="00295B34"/>
    <w:rsid w:val="002A5D69"/>
    <w:rsid w:val="002B1DBF"/>
    <w:rsid w:val="002B759E"/>
    <w:rsid w:val="002C0D5D"/>
    <w:rsid w:val="002C692D"/>
    <w:rsid w:val="002C6ABE"/>
    <w:rsid w:val="002E388C"/>
    <w:rsid w:val="002F1BF3"/>
    <w:rsid w:val="002F4D43"/>
    <w:rsid w:val="00300B76"/>
    <w:rsid w:val="003056C6"/>
    <w:rsid w:val="00311B14"/>
    <w:rsid w:val="00324306"/>
    <w:rsid w:val="003278D6"/>
    <w:rsid w:val="003303F0"/>
    <w:rsid w:val="00330BA7"/>
    <w:rsid w:val="003317C5"/>
    <w:rsid w:val="0034059B"/>
    <w:rsid w:val="0035019C"/>
    <w:rsid w:val="00360248"/>
    <w:rsid w:val="00360C66"/>
    <w:rsid w:val="00366A46"/>
    <w:rsid w:val="00377A0D"/>
    <w:rsid w:val="0038677D"/>
    <w:rsid w:val="00391C9E"/>
    <w:rsid w:val="003A1933"/>
    <w:rsid w:val="003B1AE3"/>
    <w:rsid w:val="003B5E35"/>
    <w:rsid w:val="003B77A8"/>
    <w:rsid w:val="003C6A1E"/>
    <w:rsid w:val="003D3FF4"/>
    <w:rsid w:val="003D7161"/>
    <w:rsid w:val="003E3F5F"/>
    <w:rsid w:val="003E3F9D"/>
    <w:rsid w:val="003E50D8"/>
    <w:rsid w:val="003E69E5"/>
    <w:rsid w:val="003E6D6E"/>
    <w:rsid w:val="003F512F"/>
    <w:rsid w:val="00406ABC"/>
    <w:rsid w:val="0040748E"/>
    <w:rsid w:val="00412206"/>
    <w:rsid w:val="00415701"/>
    <w:rsid w:val="00424480"/>
    <w:rsid w:val="00427E08"/>
    <w:rsid w:val="004349BA"/>
    <w:rsid w:val="0043575C"/>
    <w:rsid w:val="004365C7"/>
    <w:rsid w:val="00436DF6"/>
    <w:rsid w:val="004425B7"/>
    <w:rsid w:val="00444A85"/>
    <w:rsid w:val="00462CFA"/>
    <w:rsid w:val="00486DB1"/>
    <w:rsid w:val="00487476"/>
    <w:rsid w:val="00493E10"/>
    <w:rsid w:val="004972E8"/>
    <w:rsid w:val="004A3F08"/>
    <w:rsid w:val="004B09D0"/>
    <w:rsid w:val="004C0F9E"/>
    <w:rsid w:val="004C1243"/>
    <w:rsid w:val="004C5C26"/>
    <w:rsid w:val="004F146F"/>
    <w:rsid w:val="004F4ECD"/>
    <w:rsid w:val="004F7E99"/>
    <w:rsid w:val="005003F9"/>
    <w:rsid w:val="0050417B"/>
    <w:rsid w:val="005133CE"/>
    <w:rsid w:val="00521BA3"/>
    <w:rsid w:val="00523E0D"/>
    <w:rsid w:val="00525588"/>
    <w:rsid w:val="0052710E"/>
    <w:rsid w:val="005442FC"/>
    <w:rsid w:val="0055631D"/>
    <w:rsid w:val="00557F3D"/>
    <w:rsid w:val="00593935"/>
    <w:rsid w:val="005973FD"/>
    <w:rsid w:val="00597C68"/>
    <w:rsid w:val="005A382B"/>
    <w:rsid w:val="005A4047"/>
    <w:rsid w:val="005A493B"/>
    <w:rsid w:val="005C0D39"/>
    <w:rsid w:val="005C6232"/>
    <w:rsid w:val="005D6F7A"/>
    <w:rsid w:val="005E0D31"/>
    <w:rsid w:val="005E5B88"/>
    <w:rsid w:val="005E78EE"/>
    <w:rsid w:val="005F139F"/>
    <w:rsid w:val="005F1EBD"/>
    <w:rsid w:val="00600408"/>
    <w:rsid w:val="006063D0"/>
    <w:rsid w:val="00607B21"/>
    <w:rsid w:val="0061100D"/>
    <w:rsid w:val="00613C45"/>
    <w:rsid w:val="00624985"/>
    <w:rsid w:val="00633D4E"/>
    <w:rsid w:val="0063526F"/>
    <w:rsid w:val="00637E86"/>
    <w:rsid w:val="006422DE"/>
    <w:rsid w:val="006439FA"/>
    <w:rsid w:val="00667B60"/>
    <w:rsid w:val="0067485D"/>
    <w:rsid w:val="006A0ADA"/>
    <w:rsid w:val="006A2065"/>
    <w:rsid w:val="006A3084"/>
    <w:rsid w:val="006A3D88"/>
    <w:rsid w:val="006A4A7A"/>
    <w:rsid w:val="006B0848"/>
    <w:rsid w:val="006B443B"/>
    <w:rsid w:val="006B733D"/>
    <w:rsid w:val="006C2779"/>
    <w:rsid w:val="006C2C3D"/>
    <w:rsid w:val="006C34AE"/>
    <w:rsid w:val="006C67AF"/>
    <w:rsid w:val="006D3DC5"/>
    <w:rsid w:val="006F143B"/>
    <w:rsid w:val="007039EC"/>
    <w:rsid w:val="0071572D"/>
    <w:rsid w:val="007157BA"/>
    <w:rsid w:val="007169F9"/>
    <w:rsid w:val="00717317"/>
    <w:rsid w:val="007174A6"/>
    <w:rsid w:val="007224B3"/>
    <w:rsid w:val="0072496C"/>
    <w:rsid w:val="00731303"/>
    <w:rsid w:val="007402E0"/>
    <w:rsid w:val="00741BF3"/>
    <w:rsid w:val="0074489D"/>
    <w:rsid w:val="00746549"/>
    <w:rsid w:val="007514AD"/>
    <w:rsid w:val="0075524D"/>
    <w:rsid w:val="007560B0"/>
    <w:rsid w:val="007627D7"/>
    <w:rsid w:val="00776C4F"/>
    <w:rsid w:val="007838E4"/>
    <w:rsid w:val="007846DC"/>
    <w:rsid w:val="007A19D8"/>
    <w:rsid w:val="007B0C6B"/>
    <w:rsid w:val="007D6A17"/>
    <w:rsid w:val="007E36E4"/>
    <w:rsid w:val="007F0ACE"/>
    <w:rsid w:val="00800F0E"/>
    <w:rsid w:val="00803721"/>
    <w:rsid w:val="00804024"/>
    <w:rsid w:val="00806C25"/>
    <w:rsid w:val="00813028"/>
    <w:rsid w:val="0081753E"/>
    <w:rsid w:val="00825D7E"/>
    <w:rsid w:val="00831016"/>
    <w:rsid w:val="00834AC3"/>
    <w:rsid w:val="0085010E"/>
    <w:rsid w:val="0085454F"/>
    <w:rsid w:val="00866186"/>
    <w:rsid w:val="00871AEE"/>
    <w:rsid w:val="0087354F"/>
    <w:rsid w:val="00876C7A"/>
    <w:rsid w:val="008832B6"/>
    <w:rsid w:val="00896985"/>
    <w:rsid w:val="008C53D0"/>
    <w:rsid w:val="008D527A"/>
    <w:rsid w:val="008D56DA"/>
    <w:rsid w:val="008D5771"/>
    <w:rsid w:val="008E4E3B"/>
    <w:rsid w:val="008F472E"/>
    <w:rsid w:val="00902556"/>
    <w:rsid w:val="0090338C"/>
    <w:rsid w:val="0091048E"/>
    <w:rsid w:val="00924ABC"/>
    <w:rsid w:val="00940E8F"/>
    <w:rsid w:val="0095309C"/>
    <w:rsid w:val="009652F2"/>
    <w:rsid w:val="009719ED"/>
    <w:rsid w:val="00983D39"/>
    <w:rsid w:val="00986C37"/>
    <w:rsid w:val="00990909"/>
    <w:rsid w:val="00991EFB"/>
    <w:rsid w:val="0099326B"/>
    <w:rsid w:val="00997528"/>
    <w:rsid w:val="0099792A"/>
    <w:rsid w:val="0099796A"/>
    <w:rsid w:val="009C1346"/>
    <w:rsid w:val="009D05C8"/>
    <w:rsid w:val="009E3C0B"/>
    <w:rsid w:val="009E558C"/>
    <w:rsid w:val="009E60DE"/>
    <w:rsid w:val="00A0665C"/>
    <w:rsid w:val="00A13244"/>
    <w:rsid w:val="00A17FB7"/>
    <w:rsid w:val="00A239AA"/>
    <w:rsid w:val="00A439E8"/>
    <w:rsid w:val="00A45753"/>
    <w:rsid w:val="00A45A2E"/>
    <w:rsid w:val="00A53423"/>
    <w:rsid w:val="00A62659"/>
    <w:rsid w:val="00A63F1F"/>
    <w:rsid w:val="00A65F20"/>
    <w:rsid w:val="00A76293"/>
    <w:rsid w:val="00A77DA2"/>
    <w:rsid w:val="00A84231"/>
    <w:rsid w:val="00A85D9D"/>
    <w:rsid w:val="00A92C4C"/>
    <w:rsid w:val="00AA602D"/>
    <w:rsid w:val="00AB572D"/>
    <w:rsid w:val="00AC3AD0"/>
    <w:rsid w:val="00AC4DAD"/>
    <w:rsid w:val="00AE2923"/>
    <w:rsid w:val="00AE7F9D"/>
    <w:rsid w:val="00AF04D9"/>
    <w:rsid w:val="00AF1794"/>
    <w:rsid w:val="00B028F7"/>
    <w:rsid w:val="00B075C5"/>
    <w:rsid w:val="00B22863"/>
    <w:rsid w:val="00B41502"/>
    <w:rsid w:val="00B51024"/>
    <w:rsid w:val="00B512B5"/>
    <w:rsid w:val="00B54740"/>
    <w:rsid w:val="00B60CD8"/>
    <w:rsid w:val="00B60F9C"/>
    <w:rsid w:val="00B6769E"/>
    <w:rsid w:val="00B73F22"/>
    <w:rsid w:val="00B76F9A"/>
    <w:rsid w:val="00B774D3"/>
    <w:rsid w:val="00B810B2"/>
    <w:rsid w:val="00BA26F7"/>
    <w:rsid w:val="00BA6E1E"/>
    <w:rsid w:val="00BA79F0"/>
    <w:rsid w:val="00BB5068"/>
    <w:rsid w:val="00BB7AE8"/>
    <w:rsid w:val="00BD0481"/>
    <w:rsid w:val="00BD4447"/>
    <w:rsid w:val="00BE2623"/>
    <w:rsid w:val="00BE3923"/>
    <w:rsid w:val="00BE4BF0"/>
    <w:rsid w:val="00BE5EE5"/>
    <w:rsid w:val="00BE68EE"/>
    <w:rsid w:val="00BE71AA"/>
    <w:rsid w:val="00BE7F63"/>
    <w:rsid w:val="00BF45FB"/>
    <w:rsid w:val="00C123B1"/>
    <w:rsid w:val="00C140EA"/>
    <w:rsid w:val="00C17FAA"/>
    <w:rsid w:val="00C21071"/>
    <w:rsid w:val="00C2398C"/>
    <w:rsid w:val="00C25569"/>
    <w:rsid w:val="00C27366"/>
    <w:rsid w:val="00C63AA8"/>
    <w:rsid w:val="00C7450B"/>
    <w:rsid w:val="00C7783C"/>
    <w:rsid w:val="00C80068"/>
    <w:rsid w:val="00C81210"/>
    <w:rsid w:val="00C82410"/>
    <w:rsid w:val="00CA6B58"/>
    <w:rsid w:val="00CB1AE6"/>
    <w:rsid w:val="00CB3ED4"/>
    <w:rsid w:val="00CB3F86"/>
    <w:rsid w:val="00CD34F0"/>
    <w:rsid w:val="00CE0954"/>
    <w:rsid w:val="00CF11F7"/>
    <w:rsid w:val="00CF4E55"/>
    <w:rsid w:val="00D1323F"/>
    <w:rsid w:val="00D202BA"/>
    <w:rsid w:val="00D251AC"/>
    <w:rsid w:val="00D3513B"/>
    <w:rsid w:val="00D43766"/>
    <w:rsid w:val="00D47CCF"/>
    <w:rsid w:val="00D6457B"/>
    <w:rsid w:val="00D66DEC"/>
    <w:rsid w:val="00D71A41"/>
    <w:rsid w:val="00D7664F"/>
    <w:rsid w:val="00D768A4"/>
    <w:rsid w:val="00D92F52"/>
    <w:rsid w:val="00DA018A"/>
    <w:rsid w:val="00DA753F"/>
    <w:rsid w:val="00DA7929"/>
    <w:rsid w:val="00DC182C"/>
    <w:rsid w:val="00DC5754"/>
    <w:rsid w:val="00DD34A3"/>
    <w:rsid w:val="00DD6056"/>
    <w:rsid w:val="00DE7B79"/>
    <w:rsid w:val="00DE7C6A"/>
    <w:rsid w:val="00DF2857"/>
    <w:rsid w:val="00DF782B"/>
    <w:rsid w:val="00E03AEF"/>
    <w:rsid w:val="00E102DE"/>
    <w:rsid w:val="00E24825"/>
    <w:rsid w:val="00E42093"/>
    <w:rsid w:val="00E522AD"/>
    <w:rsid w:val="00E53EB9"/>
    <w:rsid w:val="00E57CB7"/>
    <w:rsid w:val="00E64103"/>
    <w:rsid w:val="00E76CD1"/>
    <w:rsid w:val="00EB187B"/>
    <w:rsid w:val="00EE4AD8"/>
    <w:rsid w:val="00EE5977"/>
    <w:rsid w:val="00EE5C04"/>
    <w:rsid w:val="00F00E6F"/>
    <w:rsid w:val="00F139AC"/>
    <w:rsid w:val="00F21EAC"/>
    <w:rsid w:val="00F3243D"/>
    <w:rsid w:val="00F370BC"/>
    <w:rsid w:val="00F37388"/>
    <w:rsid w:val="00F46D0D"/>
    <w:rsid w:val="00F84951"/>
    <w:rsid w:val="00F86B02"/>
    <w:rsid w:val="00F92B59"/>
    <w:rsid w:val="00F948BC"/>
    <w:rsid w:val="00F960CF"/>
    <w:rsid w:val="00FA10A3"/>
    <w:rsid w:val="00FA1226"/>
    <w:rsid w:val="00FD09D8"/>
    <w:rsid w:val="00FE1F4E"/>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694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NormalnyWeb">
    <w:name w:val="Normal (Web)"/>
    <w:basedOn w:val="Normalny"/>
    <w:uiPriority w:val="99"/>
    <w:semiHidden/>
    <w:unhideWhenUsed/>
    <w:rsid w:val="00241824"/>
    <w:pPr>
      <w:spacing w:before="100" w:beforeAutospacing="1" w:after="100" w:afterAutospacing="1"/>
    </w:pPr>
    <w:rPr>
      <w:rFonts w:ascii="Times New Roman" w:hAnsi="Times New Roman"/>
      <w:sz w:val="24"/>
      <w:szCs w:val="24"/>
      <w:lang w:eastAsia="pl-PL"/>
    </w:rPr>
  </w:style>
  <w:style w:type="character" w:styleId="Odwoanieprzypisudolnego">
    <w:name w:val="footnote reference"/>
    <w:aliases w:val="note TESI,Ref,de nota al pie,Odwołanie przypisu,Footnote number,SUPERS,Footnote symbol,fr,o,Nota,(NECG) Footnote Reference,Footnote,Char1,PRZYPIS DOLNY,FZ"/>
    <w:uiPriority w:val="99"/>
    <w:rsid w:val="00436DF6"/>
    <w:rPr>
      <w:vertAlign w:val="superscript"/>
    </w:rPr>
  </w:style>
  <w:style w:type="paragraph" w:styleId="Tekstprzypisudolnego">
    <w:name w:val="footnote text"/>
    <w:aliases w:val=" Znak Znak Znak Znak,Tekst przypisu,Footnote Text Char1,Footnote Text Char Char,Fußnotentext Char Char Char,Fußnotentext Char1 Char Char Char,Fußnotentext Char Char Char Char Char,Fußnotentext Char1 Char Char Char Char Char, Znak"/>
    <w:basedOn w:val="Normalny"/>
    <w:link w:val="TekstprzypisudolnegoZnak"/>
    <w:uiPriority w:val="99"/>
    <w:qFormat/>
    <w:rsid w:val="00436DF6"/>
    <w:rPr>
      <w:rFonts w:ascii="Times New Roman" w:hAnsi="Times New Roman"/>
      <w:sz w:val="20"/>
      <w:szCs w:val="20"/>
      <w:lang w:eastAsia="pl-PL"/>
    </w:rPr>
  </w:style>
  <w:style w:type="character" w:customStyle="1" w:styleId="TekstprzypisudolnegoZnak">
    <w:name w:val="Tekst przypisu dolnego Znak"/>
    <w:aliases w:val=" Znak Znak Znak Znak Znak,Tekst przypisu Znak,Footnote Text Char1 Znak,Footnote Text Char Char Znak,Fußnotentext Char Char Char Znak,Fußnotentext Char1 Char Char Char Znak,Fußnotentext Char Char Char Char Char Znak, Znak Znak"/>
    <w:basedOn w:val="Domylnaczcionkaakapitu"/>
    <w:link w:val="Tekstprzypisudolnego"/>
    <w:uiPriority w:val="99"/>
    <w:rsid w:val="00436DF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7B0C6B"/>
    <w:pPr>
      <w:spacing w:after="120" w:line="480" w:lineRule="auto"/>
      <w:jc w:val="both"/>
    </w:pPr>
    <w:rPr>
      <w:rFonts w:eastAsia="Calibri"/>
      <w:sz w:val="22"/>
    </w:rPr>
  </w:style>
  <w:style w:type="character" w:customStyle="1" w:styleId="Tekstpodstawowy2Znak">
    <w:name w:val="Tekst podstawowy 2 Znak"/>
    <w:basedOn w:val="Domylnaczcionkaakapitu"/>
    <w:link w:val="Tekstpodstawowy2"/>
    <w:uiPriority w:val="99"/>
    <w:semiHidden/>
    <w:rsid w:val="007B0C6B"/>
    <w:rPr>
      <w:rFonts w:ascii="Trebuchet MS" w:eastAsia="Calibri"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109835">
      <w:bodyDiv w:val="1"/>
      <w:marLeft w:val="0"/>
      <w:marRight w:val="0"/>
      <w:marTop w:val="0"/>
      <w:marBottom w:val="0"/>
      <w:divBdr>
        <w:top w:val="none" w:sz="0" w:space="0" w:color="auto"/>
        <w:left w:val="none" w:sz="0" w:space="0" w:color="auto"/>
        <w:bottom w:val="none" w:sz="0" w:space="0" w:color="auto"/>
        <w:right w:val="none" w:sz="0" w:space="0" w:color="auto"/>
      </w:divBdr>
    </w:div>
    <w:div w:id="1560821291">
      <w:bodyDiv w:val="1"/>
      <w:marLeft w:val="0"/>
      <w:marRight w:val="0"/>
      <w:marTop w:val="0"/>
      <w:marBottom w:val="0"/>
      <w:divBdr>
        <w:top w:val="none" w:sz="0" w:space="0" w:color="auto"/>
        <w:left w:val="none" w:sz="0" w:space="0" w:color="auto"/>
        <w:bottom w:val="none" w:sz="0" w:space="0" w:color="auto"/>
        <w:right w:val="none" w:sz="0" w:space="0" w:color="auto"/>
      </w:divBdr>
      <w:divsChild>
        <w:div w:id="108850691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37583205">
              <w:marLeft w:val="0"/>
              <w:marRight w:val="0"/>
              <w:marTop w:val="0"/>
              <w:marBottom w:val="0"/>
              <w:divBdr>
                <w:top w:val="none" w:sz="0" w:space="0" w:color="auto"/>
                <w:left w:val="none" w:sz="0" w:space="0" w:color="auto"/>
                <w:bottom w:val="none" w:sz="0" w:space="0" w:color="auto"/>
                <w:right w:val="none" w:sz="0" w:space="0" w:color="auto"/>
              </w:divBdr>
              <w:divsChild>
                <w:div w:id="1876040021">
                  <w:marLeft w:val="0"/>
                  <w:marRight w:val="0"/>
                  <w:marTop w:val="0"/>
                  <w:marBottom w:val="0"/>
                  <w:divBdr>
                    <w:top w:val="none" w:sz="0" w:space="0" w:color="auto"/>
                    <w:left w:val="none" w:sz="0" w:space="0" w:color="auto"/>
                    <w:bottom w:val="none" w:sz="0" w:space="0" w:color="auto"/>
                    <w:right w:val="none" w:sz="0" w:space="0" w:color="auto"/>
                  </w:divBdr>
                  <w:divsChild>
                    <w:div w:id="888034353">
                      <w:marLeft w:val="0"/>
                      <w:marRight w:val="0"/>
                      <w:marTop w:val="0"/>
                      <w:marBottom w:val="0"/>
                      <w:divBdr>
                        <w:top w:val="none" w:sz="0" w:space="0" w:color="auto"/>
                        <w:left w:val="none" w:sz="0" w:space="0" w:color="auto"/>
                        <w:bottom w:val="none" w:sz="0" w:space="0" w:color="auto"/>
                        <w:right w:val="none" w:sz="0" w:space="0" w:color="auto"/>
                      </w:divBdr>
                      <w:divsChild>
                        <w:div w:id="1999579273">
                          <w:marLeft w:val="0"/>
                          <w:marRight w:val="0"/>
                          <w:marTop w:val="0"/>
                          <w:marBottom w:val="0"/>
                          <w:divBdr>
                            <w:top w:val="none" w:sz="0" w:space="0" w:color="auto"/>
                            <w:left w:val="none" w:sz="0" w:space="0" w:color="auto"/>
                            <w:bottom w:val="none" w:sz="0" w:space="0" w:color="auto"/>
                            <w:right w:val="none" w:sz="0" w:space="0" w:color="auto"/>
                          </w:divBdr>
                          <w:divsChild>
                            <w:div w:id="1006782202">
                              <w:marLeft w:val="0"/>
                              <w:marRight w:val="0"/>
                              <w:marTop w:val="0"/>
                              <w:marBottom w:val="0"/>
                              <w:divBdr>
                                <w:top w:val="none" w:sz="0" w:space="0" w:color="auto"/>
                                <w:left w:val="none" w:sz="0" w:space="0" w:color="auto"/>
                                <w:bottom w:val="none" w:sz="0" w:space="0" w:color="auto"/>
                                <w:right w:val="none" w:sz="0" w:space="0" w:color="auto"/>
                              </w:divBdr>
                              <w:divsChild>
                                <w:div w:id="1988626971">
                                  <w:marLeft w:val="0"/>
                                  <w:marRight w:val="0"/>
                                  <w:marTop w:val="0"/>
                                  <w:marBottom w:val="0"/>
                                  <w:divBdr>
                                    <w:top w:val="none" w:sz="0" w:space="0" w:color="auto"/>
                                    <w:left w:val="none" w:sz="0" w:space="0" w:color="auto"/>
                                    <w:bottom w:val="none" w:sz="0" w:space="0" w:color="auto"/>
                                    <w:right w:val="none" w:sz="0" w:space="0" w:color="auto"/>
                                  </w:divBdr>
                                  <w:divsChild>
                                    <w:div w:id="1261178784">
                                      <w:marLeft w:val="0"/>
                                      <w:marRight w:val="0"/>
                                      <w:marTop w:val="0"/>
                                      <w:marBottom w:val="0"/>
                                      <w:divBdr>
                                        <w:top w:val="none" w:sz="0" w:space="0" w:color="auto"/>
                                        <w:left w:val="none" w:sz="0" w:space="0" w:color="auto"/>
                                        <w:bottom w:val="none" w:sz="0" w:space="0" w:color="auto"/>
                                        <w:right w:val="none" w:sz="0" w:space="0" w:color="auto"/>
                                      </w:divBdr>
                                      <w:divsChild>
                                        <w:div w:id="269439484">
                                          <w:marLeft w:val="0"/>
                                          <w:marRight w:val="0"/>
                                          <w:marTop w:val="0"/>
                                          <w:marBottom w:val="0"/>
                                          <w:divBdr>
                                            <w:top w:val="none" w:sz="0" w:space="0" w:color="auto"/>
                                            <w:left w:val="none" w:sz="0" w:space="0" w:color="auto"/>
                                            <w:bottom w:val="none" w:sz="0" w:space="0" w:color="auto"/>
                                            <w:right w:val="none" w:sz="0" w:space="0" w:color="auto"/>
                                          </w:divBdr>
                                          <w:divsChild>
                                            <w:div w:id="140467080">
                                              <w:marLeft w:val="0"/>
                                              <w:marRight w:val="0"/>
                                              <w:marTop w:val="0"/>
                                              <w:marBottom w:val="0"/>
                                              <w:divBdr>
                                                <w:top w:val="none" w:sz="0" w:space="0" w:color="auto"/>
                                                <w:left w:val="none" w:sz="0" w:space="0" w:color="auto"/>
                                                <w:bottom w:val="none" w:sz="0" w:space="0" w:color="auto"/>
                                                <w:right w:val="none" w:sz="0" w:space="0" w:color="auto"/>
                                              </w:divBdr>
                                              <w:divsChild>
                                                <w:div w:id="844199868">
                                                  <w:marLeft w:val="0"/>
                                                  <w:marRight w:val="0"/>
                                                  <w:marTop w:val="0"/>
                                                  <w:marBottom w:val="0"/>
                                                  <w:divBdr>
                                                    <w:top w:val="none" w:sz="0" w:space="0" w:color="auto"/>
                                                    <w:left w:val="none" w:sz="0" w:space="0" w:color="auto"/>
                                                    <w:bottom w:val="none" w:sz="0" w:space="0" w:color="auto"/>
                                                    <w:right w:val="none" w:sz="0" w:space="0" w:color="auto"/>
                                                  </w:divBdr>
                                                  <w:divsChild>
                                                    <w:div w:id="1650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ady@dlakonsument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okik.gov.pl/pomoc.ph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FCF6E8A3-77C9-4790-9821-76EEAA8A1F9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512</Words>
  <Characters>3075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Agnieszka Orlińska</cp:lastModifiedBy>
  <cp:revision>8</cp:revision>
  <cp:lastPrinted>2019-03-06T14:11:00Z</cp:lastPrinted>
  <dcterms:created xsi:type="dcterms:W3CDTF">2022-07-14T08:27:00Z</dcterms:created>
  <dcterms:modified xsi:type="dcterms:W3CDTF">2022-07-26T14:24:00Z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ffcfad3c-9bdd-4cba-9426-83dde81dc999</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