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C0550" w14:textId="31DB7834" w:rsidR="00290C08" w:rsidRPr="00DA7E6D" w:rsidRDefault="00290C08" w:rsidP="008F131D">
      <w:pPr>
        <w:spacing w:before="240" w:line="360" w:lineRule="auto"/>
        <w:jc w:val="both"/>
        <w:rPr>
          <w:sz w:val="32"/>
          <w:szCs w:val="32"/>
        </w:rPr>
      </w:pPr>
      <w:r w:rsidRPr="00DA7E6D">
        <w:rPr>
          <w:sz w:val="32"/>
          <w:szCs w:val="32"/>
        </w:rPr>
        <w:t xml:space="preserve">KONTROLA KOTŁÓW </w:t>
      </w:r>
      <w:r w:rsidR="00A906A0" w:rsidRPr="00DA7E6D">
        <w:rPr>
          <w:sz w:val="32"/>
          <w:szCs w:val="32"/>
        </w:rPr>
        <w:t>NA PALIWO STAŁE</w:t>
      </w:r>
      <w:r w:rsidR="00C84454" w:rsidRPr="00DA7E6D">
        <w:rPr>
          <w:sz w:val="32"/>
          <w:szCs w:val="32"/>
        </w:rPr>
        <w:t>, CIEKŁE I GAZOWE</w:t>
      </w:r>
      <w:r w:rsidR="00A906A0" w:rsidRPr="00DA7E6D">
        <w:rPr>
          <w:sz w:val="32"/>
          <w:szCs w:val="32"/>
        </w:rPr>
        <w:t xml:space="preserve"> </w:t>
      </w:r>
      <w:r w:rsidRPr="00DA7E6D">
        <w:rPr>
          <w:sz w:val="32"/>
          <w:szCs w:val="32"/>
        </w:rPr>
        <w:t>W 2021 ROKU</w:t>
      </w:r>
    </w:p>
    <w:p w14:paraId="03049A91" w14:textId="25178911" w:rsidR="00290C08" w:rsidRDefault="00290C08" w:rsidP="008F131D">
      <w:pPr>
        <w:pStyle w:val="Akapitzlist"/>
        <w:numPr>
          <w:ilvl w:val="0"/>
          <w:numId w:val="7"/>
        </w:numPr>
        <w:spacing w:before="240" w:after="160" w:line="360" w:lineRule="auto"/>
        <w:jc w:val="both"/>
        <w:rPr>
          <w:rStyle w:val="Pogrubienie"/>
          <w:rFonts w:cs="Tahoma"/>
          <w:sz w:val="22"/>
        </w:rPr>
      </w:pPr>
      <w:r w:rsidRPr="00507DDB">
        <w:rPr>
          <w:rStyle w:val="Pogrubienie"/>
          <w:rFonts w:cs="Tahoma"/>
          <w:sz w:val="22"/>
        </w:rPr>
        <w:t xml:space="preserve">Prezes UOKiK wraz z Inspekcją Handlową </w:t>
      </w:r>
      <w:r>
        <w:rPr>
          <w:rStyle w:val="Pogrubienie"/>
          <w:rFonts w:cs="Tahoma"/>
          <w:sz w:val="22"/>
        </w:rPr>
        <w:t>regularnie kontroluje kotły – ich dokumentację</w:t>
      </w:r>
      <w:r w:rsidRPr="00507DDB">
        <w:rPr>
          <w:rStyle w:val="Pogrubienie"/>
          <w:rFonts w:cs="Tahoma"/>
          <w:sz w:val="22"/>
        </w:rPr>
        <w:t>, emisyjność i sprawność cieplną</w:t>
      </w:r>
      <w:r w:rsidR="00191BA9">
        <w:rPr>
          <w:rStyle w:val="Pogrubienie"/>
          <w:rFonts w:cs="Tahoma"/>
          <w:sz w:val="22"/>
        </w:rPr>
        <w:t>.</w:t>
      </w:r>
    </w:p>
    <w:p w14:paraId="12F20986" w14:textId="55EB8B1C" w:rsidR="00C84454" w:rsidRPr="00E55F9F" w:rsidRDefault="00D06A50" w:rsidP="00E55F9F">
      <w:pPr>
        <w:pStyle w:val="Akapitzlist"/>
        <w:numPr>
          <w:ilvl w:val="0"/>
          <w:numId w:val="7"/>
        </w:numPr>
        <w:spacing w:before="240" w:after="160" w:line="360" w:lineRule="auto"/>
        <w:jc w:val="both"/>
        <w:rPr>
          <w:rStyle w:val="Pogrubienie"/>
          <w:rFonts w:cs="Tahoma"/>
          <w:sz w:val="22"/>
        </w:rPr>
      </w:pPr>
      <w:r>
        <w:rPr>
          <w:rStyle w:val="Pogrubienie"/>
          <w:rFonts w:cs="Tahoma"/>
          <w:sz w:val="22"/>
        </w:rPr>
        <w:t xml:space="preserve">Sprawdziliśmy prawie 200 modeli kotłów na paliwo stałe (np. </w:t>
      </w:r>
      <w:r w:rsidR="0037624B">
        <w:rPr>
          <w:rStyle w:val="Pogrubienie"/>
          <w:rFonts w:cs="Tahoma"/>
          <w:sz w:val="22"/>
        </w:rPr>
        <w:t xml:space="preserve">węgiel, </w:t>
      </w:r>
      <w:r w:rsidR="00914C42">
        <w:rPr>
          <w:rStyle w:val="Pogrubienie"/>
          <w:rFonts w:cs="Tahoma"/>
          <w:sz w:val="22"/>
        </w:rPr>
        <w:t>pellet</w:t>
      </w:r>
      <w:r w:rsidR="0037624B">
        <w:rPr>
          <w:rStyle w:val="Pogrubienie"/>
          <w:rFonts w:cs="Tahoma"/>
          <w:sz w:val="22"/>
        </w:rPr>
        <w:t xml:space="preserve">), </w:t>
      </w:r>
      <w:r>
        <w:rPr>
          <w:rStyle w:val="Pogrubienie"/>
          <w:rFonts w:cs="Tahoma"/>
          <w:sz w:val="22"/>
        </w:rPr>
        <w:t xml:space="preserve">gazowe i ciekłe. </w:t>
      </w:r>
      <w:r w:rsidR="00E55F9F">
        <w:rPr>
          <w:rStyle w:val="Pogrubienie"/>
          <w:rFonts w:cs="Tahoma"/>
          <w:sz w:val="22"/>
        </w:rPr>
        <w:t xml:space="preserve"> </w:t>
      </w:r>
    </w:p>
    <w:p w14:paraId="3FD54BB6" w14:textId="77777777" w:rsidR="00290C08" w:rsidRDefault="00290C08" w:rsidP="008F131D">
      <w:pPr>
        <w:pStyle w:val="Akapitzlist"/>
        <w:numPr>
          <w:ilvl w:val="0"/>
          <w:numId w:val="7"/>
        </w:numPr>
        <w:spacing w:before="240" w:after="160" w:line="360" w:lineRule="auto"/>
        <w:jc w:val="both"/>
        <w:rPr>
          <w:rStyle w:val="Pogrubienie"/>
          <w:rFonts w:cs="Tahoma"/>
          <w:sz w:val="22"/>
        </w:rPr>
      </w:pPr>
      <w:r>
        <w:rPr>
          <w:rStyle w:val="Pogrubienie"/>
          <w:rFonts w:cs="Tahoma"/>
          <w:sz w:val="22"/>
        </w:rPr>
        <w:t>Konsumencie, zanim kupisz kocioł, zapoznaj</w:t>
      </w:r>
      <w:r w:rsidRPr="00507DDB">
        <w:rPr>
          <w:rStyle w:val="Pogrubienie"/>
          <w:rFonts w:cs="Tahoma"/>
          <w:sz w:val="22"/>
        </w:rPr>
        <w:t xml:space="preserve"> się z </w:t>
      </w:r>
      <w:r w:rsidRPr="00C84454">
        <w:rPr>
          <w:rStyle w:val="Pogrubienie"/>
          <w:rFonts w:cs="Tahoma"/>
          <w:sz w:val="22"/>
        </w:rPr>
        <w:t>lokalnymi przepisami, które</w:t>
      </w:r>
      <w:r w:rsidRPr="00507DDB">
        <w:rPr>
          <w:rStyle w:val="Pogrubienie"/>
          <w:rFonts w:cs="Tahoma"/>
          <w:sz w:val="22"/>
        </w:rPr>
        <w:t xml:space="preserve"> mogą ograniczać możliwość używania takich urządzeń</w:t>
      </w:r>
      <w:r>
        <w:rPr>
          <w:rStyle w:val="Pogrubienie"/>
          <w:rFonts w:cs="Tahoma"/>
          <w:sz w:val="22"/>
        </w:rPr>
        <w:t xml:space="preserve"> na danym terenie</w:t>
      </w:r>
      <w:r w:rsidRPr="00507DDB">
        <w:rPr>
          <w:rStyle w:val="Pogrubienie"/>
          <w:rFonts w:cs="Tahoma"/>
          <w:sz w:val="22"/>
        </w:rPr>
        <w:t xml:space="preserve">. </w:t>
      </w:r>
    </w:p>
    <w:p w14:paraId="74C64E05" w14:textId="4B53B0FB" w:rsidR="00290C08" w:rsidRDefault="00E55F9F" w:rsidP="008F131D">
      <w:pPr>
        <w:spacing w:before="240" w:line="360" w:lineRule="auto"/>
        <w:jc w:val="both"/>
        <w:rPr>
          <w:sz w:val="22"/>
        </w:rPr>
      </w:pPr>
      <w:r>
        <w:rPr>
          <w:rStyle w:val="Pogrubienie"/>
          <w:rFonts w:cs="Tahoma"/>
          <w:sz w:val="22"/>
        </w:rPr>
        <w:t xml:space="preserve"> [Warszawa, </w:t>
      </w:r>
      <w:r w:rsidR="00A13957">
        <w:rPr>
          <w:rStyle w:val="Pogrubienie"/>
          <w:rFonts w:cs="Tahoma"/>
          <w:sz w:val="22"/>
        </w:rPr>
        <w:t>04</w:t>
      </w:r>
      <w:r>
        <w:rPr>
          <w:rStyle w:val="Pogrubienie"/>
          <w:rFonts w:cs="Tahoma"/>
          <w:sz w:val="22"/>
        </w:rPr>
        <w:t xml:space="preserve"> </w:t>
      </w:r>
      <w:r w:rsidR="00A13957">
        <w:rPr>
          <w:rStyle w:val="Pogrubienie"/>
          <w:rFonts w:cs="Tahoma"/>
          <w:sz w:val="22"/>
        </w:rPr>
        <w:t>lutego</w:t>
      </w:r>
      <w:r>
        <w:rPr>
          <w:rStyle w:val="Pogrubienie"/>
          <w:rFonts w:cs="Tahoma"/>
          <w:sz w:val="22"/>
        </w:rPr>
        <w:t xml:space="preserve"> 2022 </w:t>
      </w:r>
      <w:r w:rsidR="00290C08" w:rsidRPr="00507DDB">
        <w:rPr>
          <w:rStyle w:val="Pogrubienie"/>
          <w:rFonts w:cs="Tahoma"/>
          <w:sz w:val="22"/>
        </w:rPr>
        <w:t xml:space="preserve">r.] </w:t>
      </w:r>
      <w:r w:rsidR="00290C08" w:rsidRPr="00507DDB">
        <w:rPr>
          <w:sz w:val="22"/>
        </w:rPr>
        <w:t xml:space="preserve">Urząd Ochrony Konkurencji i Konsumentów wspólnie z Inspekcją Handlową prowadzi intensywne działania zmierzające do tego, </w:t>
      </w:r>
      <w:r w:rsidR="00290C08">
        <w:rPr>
          <w:sz w:val="22"/>
        </w:rPr>
        <w:t>a</w:t>
      </w:r>
      <w:r w:rsidR="00290C08" w:rsidRPr="00507DDB">
        <w:rPr>
          <w:sz w:val="22"/>
        </w:rPr>
        <w:t xml:space="preserve">by konsumenci korzystali z bezpiecznych i spełniających obowiązujące wymagania kotłów. </w:t>
      </w:r>
    </w:p>
    <w:p w14:paraId="76AC0BE6" w14:textId="2BA7550E" w:rsidR="00290C08" w:rsidRPr="00507DDB" w:rsidRDefault="00290C08" w:rsidP="008F131D">
      <w:pPr>
        <w:spacing w:before="240" w:line="360" w:lineRule="auto"/>
        <w:jc w:val="both"/>
        <w:rPr>
          <w:sz w:val="22"/>
        </w:rPr>
      </w:pPr>
      <w:r w:rsidRPr="002A55F4">
        <w:rPr>
          <w:i/>
          <w:sz w:val="22"/>
        </w:rPr>
        <w:t xml:space="preserve">– </w:t>
      </w:r>
      <w:r w:rsidR="002A55F4" w:rsidRPr="002A55F4">
        <w:rPr>
          <w:i/>
          <w:sz w:val="22"/>
        </w:rPr>
        <w:t xml:space="preserve">Zdrowie i bezpieczeństwo polskich konsumentów jest jednym z priorytetów Urzędu. Dbanie o środowisko leży w interesie nas wszystkich. UOKiK wraz z Inspekcją Handlową prowadzą kontrolne, których celem jest wyeliminowanie z rynku kotłów, które </w:t>
      </w:r>
      <w:r w:rsidR="0072216A">
        <w:rPr>
          <w:i/>
          <w:sz w:val="22"/>
        </w:rPr>
        <w:t xml:space="preserve">nie tylko </w:t>
      </w:r>
      <w:r w:rsidR="002A55F4" w:rsidRPr="002A55F4">
        <w:rPr>
          <w:i/>
          <w:sz w:val="22"/>
        </w:rPr>
        <w:t xml:space="preserve">zanieczyszczają </w:t>
      </w:r>
      <w:r w:rsidR="0072216A">
        <w:rPr>
          <w:i/>
          <w:sz w:val="22"/>
        </w:rPr>
        <w:t>środowisko, ale również przyczyniają się do problemów zdrowotnych Polaków</w:t>
      </w:r>
      <w:r w:rsidR="002A55F4" w:rsidRPr="002A55F4">
        <w:rPr>
          <w:i/>
          <w:sz w:val="22"/>
        </w:rPr>
        <w:t>. Sprawdzamy rzetelność informowania konsumentów oraz spełnianie wymogów prawnych w dokumentacji tech</w:t>
      </w:r>
      <w:r w:rsidR="002A55F4">
        <w:rPr>
          <w:i/>
          <w:sz w:val="22"/>
        </w:rPr>
        <w:t xml:space="preserve">nicznej czy deklaracji zgodności </w:t>
      </w:r>
      <w:r w:rsidRPr="002412C1">
        <w:rPr>
          <w:sz w:val="22"/>
        </w:rPr>
        <w:t>– mów</w:t>
      </w:r>
      <w:r>
        <w:rPr>
          <w:sz w:val="22"/>
        </w:rPr>
        <w:t>i Tomasz Chróstny, Prezes UOKiK.</w:t>
      </w:r>
    </w:p>
    <w:p w14:paraId="415180F3" w14:textId="281944C7" w:rsidR="00290C08" w:rsidRPr="00507DDB" w:rsidRDefault="00290C08" w:rsidP="008F131D">
      <w:pPr>
        <w:spacing w:before="240" w:line="360" w:lineRule="auto"/>
        <w:jc w:val="both"/>
        <w:rPr>
          <w:sz w:val="22"/>
        </w:rPr>
      </w:pPr>
      <w:r>
        <w:rPr>
          <w:sz w:val="22"/>
        </w:rPr>
        <w:t>Ze względu na dynamiczne zmiany przepisów i wytycznych dotyczących wymagań wobec kotłów kontrole prowadzono dwutorowo.</w:t>
      </w:r>
      <w:r w:rsidRPr="00507DDB">
        <w:rPr>
          <w:sz w:val="22"/>
        </w:rPr>
        <w:t xml:space="preserve"> </w:t>
      </w:r>
      <w:r w:rsidRPr="00525E2B">
        <w:rPr>
          <w:sz w:val="22"/>
        </w:rPr>
        <w:t xml:space="preserve">Inspekcja Handlowa sprawdza jakość i oznakowanie takich produktów pod kątem przepisów </w:t>
      </w:r>
      <w:r w:rsidRPr="00525E2B">
        <w:rPr>
          <w:color w:val="000000" w:themeColor="text1"/>
          <w:sz w:val="22"/>
        </w:rPr>
        <w:t>prawa ochrony środowiska oraz w zakresie spełniania wymagań wynikających z przepisów unijnych</w:t>
      </w:r>
      <w:r w:rsidR="002E45D1">
        <w:rPr>
          <w:color w:val="000000" w:themeColor="text1"/>
          <w:sz w:val="22"/>
        </w:rPr>
        <w:t xml:space="preserve"> –</w:t>
      </w:r>
      <w:r w:rsidRPr="00525E2B">
        <w:rPr>
          <w:color w:val="000000" w:themeColor="text1"/>
          <w:sz w:val="22"/>
        </w:rPr>
        <w:t xml:space="preserve"> tzw. ekoprojekt</w:t>
      </w:r>
      <w:r w:rsidR="00191BA9">
        <w:rPr>
          <w:color w:val="000000" w:themeColor="text1"/>
          <w:sz w:val="22"/>
        </w:rPr>
        <w:t>u</w:t>
      </w:r>
      <w:r w:rsidRPr="00525E2B">
        <w:rPr>
          <w:sz w:val="22"/>
        </w:rPr>
        <w:t>.</w:t>
      </w:r>
      <w:r>
        <w:rPr>
          <w:sz w:val="22"/>
        </w:rPr>
        <w:t xml:space="preserve"> </w:t>
      </w:r>
    </w:p>
    <w:p w14:paraId="6ECCB0A2" w14:textId="77777777" w:rsidR="00290C08" w:rsidRPr="00507DDB" w:rsidRDefault="00290C08" w:rsidP="008F131D">
      <w:pPr>
        <w:spacing w:before="240" w:line="360" w:lineRule="auto"/>
        <w:jc w:val="both"/>
        <w:rPr>
          <w:b/>
          <w:sz w:val="22"/>
        </w:rPr>
      </w:pPr>
      <w:r w:rsidRPr="00507DDB">
        <w:rPr>
          <w:b/>
          <w:sz w:val="22"/>
        </w:rPr>
        <w:t>Kotły na paliwo stałe – wyniki kontroli</w:t>
      </w:r>
    </w:p>
    <w:p w14:paraId="3DA12632" w14:textId="5F682F27" w:rsidR="00290C08" w:rsidRPr="00507DDB" w:rsidRDefault="00290C08" w:rsidP="008F131D">
      <w:pPr>
        <w:spacing w:before="240" w:line="360" w:lineRule="auto"/>
        <w:jc w:val="both"/>
        <w:rPr>
          <w:sz w:val="22"/>
        </w:rPr>
      </w:pPr>
      <w:r w:rsidRPr="00507DDB">
        <w:rPr>
          <w:sz w:val="22"/>
        </w:rPr>
        <w:t>Inspekcja Handlowa sprawdzała przed</w:t>
      </w:r>
      <w:r>
        <w:rPr>
          <w:sz w:val="22"/>
        </w:rPr>
        <w:t>e wszystkim, czy kotły posiadają</w:t>
      </w:r>
      <w:r w:rsidRPr="00507DDB">
        <w:rPr>
          <w:sz w:val="22"/>
        </w:rPr>
        <w:t xml:space="preserve"> dokumentację techniczną oraz czy dokumentacja ta</w:t>
      </w:r>
      <w:r>
        <w:rPr>
          <w:sz w:val="22"/>
        </w:rPr>
        <w:t xml:space="preserve"> potwierdza, że spełniają one wymagania </w:t>
      </w:r>
      <w:r w:rsidRPr="00507DDB">
        <w:rPr>
          <w:sz w:val="22"/>
        </w:rPr>
        <w:t>w zakresie granicznych wartości emisji oraz sprawności cieplnej.</w:t>
      </w:r>
      <w:r>
        <w:rPr>
          <w:sz w:val="22"/>
        </w:rPr>
        <w:t xml:space="preserve"> Inspektorzy skontrolowali</w:t>
      </w:r>
      <w:r w:rsidRPr="00507DDB">
        <w:rPr>
          <w:sz w:val="22"/>
        </w:rPr>
        <w:t xml:space="preserve"> kotły dostępne</w:t>
      </w:r>
      <w:r w:rsidR="00DE274F">
        <w:rPr>
          <w:sz w:val="22"/>
        </w:rPr>
        <w:t>,</w:t>
      </w:r>
      <w:r w:rsidRPr="00507DDB">
        <w:rPr>
          <w:sz w:val="22"/>
        </w:rPr>
        <w:t xml:space="preserve"> zarówno w sieciach handlowych, jak i u producentów oraz w sprzedaży internetowej.</w:t>
      </w:r>
    </w:p>
    <w:p w14:paraId="6A432301" w14:textId="77777777" w:rsidR="00290C08" w:rsidRDefault="00290C08" w:rsidP="008F131D">
      <w:pPr>
        <w:spacing w:before="240"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lastRenderedPageBreak/>
        <w:t xml:space="preserve">Sprawdziliśmy zgodność z przepisami prawa ochrony środowiska </w:t>
      </w:r>
      <w:r w:rsidRPr="00507DDB">
        <w:rPr>
          <w:sz w:val="22"/>
          <w:shd w:val="clear" w:color="auto" w:fill="FFFFFF"/>
        </w:rPr>
        <w:t> </w:t>
      </w:r>
      <w:r>
        <w:rPr>
          <w:rStyle w:val="Pogrubienie"/>
          <w:sz w:val="22"/>
        </w:rPr>
        <w:t>134 kotłów</w:t>
      </w:r>
      <w:r w:rsidRPr="00507DDB">
        <w:rPr>
          <w:rStyle w:val="Pogrubienie"/>
          <w:sz w:val="22"/>
        </w:rPr>
        <w:t xml:space="preserve"> na paliwo stałe</w:t>
      </w:r>
      <w:r>
        <w:rPr>
          <w:rStyle w:val="Pogrubienie"/>
          <w:sz w:val="22"/>
        </w:rPr>
        <w:t>,</w:t>
      </w:r>
      <w:r w:rsidRPr="00507DDB">
        <w:rPr>
          <w:sz w:val="22"/>
          <w:shd w:val="clear" w:color="auto" w:fill="FFFFFF"/>
        </w:rPr>
        <w:t xml:space="preserve"> z czego </w:t>
      </w:r>
      <w:r w:rsidRPr="00507DDB">
        <w:rPr>
          <w:rStyle w:val="Pogrubienie"/>
          <w:sz w:val="22"/>
        </w:rPr>
        <w:t xml:space="preserve">zakwestionowaliśmy </w:t>
      </w:r>
      <w:r w:rsidRPr="00507DDB">
        <w:rPr>
          <w:b/>
          <w:sz w:val="22"/>
          <w:shd w:val="clear" w:color="auto" w:fill="FFFFFF"/>
        </w:rPr>
        <w:t>10</w:t>
      </w:r>
      <w:r>
        <w:rPr>
          <w:b/>
          <w:sz w:val="22"/>
          <w:shd w:val="clear" w:color="auto" w:fill="FFFFFF"/>
        </w:rPr>
        <w:t xml:space="preserve"> modeli</w:t>
      </w:r>
      <w:r w:rsidRPr="00507DDB">
        <w:rPr>
          <w:rStyle w:val="Pogrubienie"/>
          <w:b w:val="0"/>
          <w:sz w:val="22"/>
        </w:rPr>
        <w:t xml:space="preserve"> </w:t>
      </w:r>
      <w:r w:rsidRPr="00507DDB">
        <w:rPr>
          <w:rStyle w:val="Pogrubienie"/>
          <w:sz w:val="22"/>
        </w:rPr>
        <w:t xml:space="preserve">ze </w:t>
      </w:r>
      <w:r>
        <w:rPr>
          <w:rStyle w:val="Pogrubienie"/>
          <w:sz w:val="22"/>
        </w:rPr>
        <w:t>względów formalnych</w:t>
      </w:r>
      <w:r w:rsidRPr="00507DDB">
        <w:rPr>
          <w:rStyle w:val="Pogrubienie"/>
          <w:sz w:val="22"/>
        </w:rPr>
        <w:t>.</w:t>
      </w:r>
      <w:r w:rsidRPr="00507DDB">
        <w:rPr>
          <w:sz w:val="22"/>
          <w:shd w:val="clear" w:color="auto" w:fill="FFFFFF"/>
        </w:rPr>
        <w:t> </w:t>
      </w:r>
      <w:r w:rsidR="00F613B1">
        <w:rPr>
          <w:sz w:val="22"/>
          <w:shd w:val="clear" w:color="auto" w:fill="FFFFFF"/>
        </w:rPr>
        <w:t xml:space="preserve">Inspektorzy stwierdzili </w:t>
      </w:r>
      <w:r w:rsidRPr="00507DDB">
        <w:rPr>
          <w:sz w:val="22"/>
          <w:shd w:val="clear" w:color="auto" w:fill="FFFFFF"/>
        </w:rPr>
        <w:t>nieprawidłowości w oznakowaniu (brak informacji o parametrach zal</w:t>
      </w:r>
      <w:r>
        <w:rPr>
          <w:sz w:val="22"/>
          <w:shd w:val="clear" w:color="auto" w:fill="FFFFFF"/>
        </w:rPr>
        <w:t>ecanego paliwa) oraz rozbieżności</w:t>
      </w:r>
      <w:r w:rsidRPr="00507DDB">
        <w:rPr>
          <w:sz w:val="22"/>
          <w:shd w:val="clear" w:color="auto" w:fill="FFFFFF"/>
        </w:rPr>
        <w:t xml:space="preserve"> w dokumentacji.</w:t>
      </w:r>
      <w:r>
        <w:rPr>
          <w:sz w:val="22"/>
          <w:shd w:val="clear" w:color="auto" w:fill="FFFFFF"/>
        </w:rPr>
        <w:t xml:space="preserve"> W wyniku wykrytych przez Inspekcje Handlową nieprawidłowości, przedsiębiorcy podjęli odpowiednie działania w celu ich usunięcia. </w:t>
      </w:r>
    </w:p>
    <w:p w14:paraId="2CA2CB36" w14:textId="4B83DA3D" w:rsidR="00290C08" w:rsidRDefault="00290C08" w:rsidP="008F131D">
      <w:pPr>
        <w:spacing w:before="240" w:line="360" w:lineRule="auto"/>
        <w:jc w:val="both"/>
        <w:rPr>
          <w:sz w:val="22"/>
          <w:shd w:val="clear" w:color="auto" w:fill="FFFFFF"/>
        </w:rPr>
      </w:pPr>
      <w:r w:rsidRPr="008A6084">
        <w:rPr>
          <w:sz w:val="22"/>
          <w:shd w:val="clear" w:color="auto" w:fill="FFFFFF"/>
        </w:rPr>
        <w:t xml:space="preserve">Pobierz </w:t>
      </w:r>
      <w:hyperlink r:id="rId9" w:history="1">
        <w:r w:rsidRPr="00A13957">
          <w:rPr>
            <w:rStyle w:val="Hipercze"/>
            <w:sz w:val="22"/>
            <w:shd w:val="clear" w:color="auto" w:fill="FFFFFF"/>
          </w:rPr>
          <w:t>raport</w:t>
        </w:r>
      </w:hyperlink>
      <w:r>
        <w:rPr>
          <w:sz w:val="22"/>
          <w:shd w:val="clear" w:color="auto" w:fill="FFFFFF"/>
        </w:rPr>
        <w:t xml:space="preserve"> z kontroli oraz </w:t>
      </w:r>
      <w:hyperlink r:id="rId10" w:history="1">
        <w:r w:rsidRPr="00A13957">
          <w:rPr>
            <w:rStyle w:val="Hipercze"/>
            <w:sz w:val="22"/>
            <w:shd w:val="clear" w:color="auto" w:fill="FFFFFF"/>
          </w:rPr>
          <w:t>wykaz</w:t>
        </w:r>
      </w:hyperlink>
      <w:r>
        <w:rPr>
          <w:sz w:val="22"/>
          <w:shd w:val="clear" w:color="auto" w:fill="FFFFFF"/>
        </w:rPr>
        <w:t xml:space="preserve"> sprawdzonych produktów. </w:t>
      </w:r>
    </w:p>
    <w:p w14:paraId="7C5A9507" w14:textId="3C72E5F6" w:rsidR="00290C08" w:rsidRPr="007620A4" w:rsidRDefault="00290C08" w:rsidP="008F131D">
      <w:pPr>
        <w:spacing w:before="240"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W zakresie wymagań </w:t>
      </w:r>
      <w:r w:rsidRPr="007620A4">
        <w:rPr>
          <w:b/>
          <w:sz w:val="22"/>
          <w:shd w:val="clear" w:color="auto" w:fill="FFFFFF"/>
        </w:rPr>
        <w:t xml:space="preserve">ekoprojektu </w:t>
      </w:r>
      <w:r>
        <w:rPr>
          <w:sz w:val="22"/>
          <w:shd w:val="clear" w:color="auto" w:fill="FFFFFF"/>
        </w:rPr>
        <w:t xml:space="preserve">skontrolowaliśmy łącznie </w:t>
      </w:r>
      <w:r w:rsidRPr="006E2F05">
        <w:rPr>
          <w:b/>
          <w:sz w:val="22"/>
          <w:shd w:val="clear" w:color="auto" w:fill="FFFFFF"/>
        </w:rPr>
        <w:t>25 kotłów</w:t>
      </w:r>
      <w:r>
        <w:rPr>
          <w:b/>
          <w:sz w:val="22"/>
          <w:shd w:val="clear" w:color="auto" w:fill="FFFFFF"/>
        </w:rPr>
        <w:t>,</w:t>
      </w:r>
      <w:r>
        <w:rPr>
          <w:sz w:val="22"/>
          <w:shd w:val="clear" w:color="auto" w:fill="FFFFFF"/>
        </w:rPr>
        <w:t xml:space="preserve"> z czego pod względem formalnym </w:t>
      </w:r>
      <w:r w:rsidRPr="007620A4">
        <w:rPr>
          <w:b/>
          <w:sz w:val="22"/>
          <w:shd w:val="clear" w:color="auto" w:fill="FFFFFF"/>
        </w:rPr>
        <w:t>zakwestionowaliśmy 19</w:t>
      </w:r>
      <w:r>
        <w:rPr>
          <w:sz w:val="22"/>
          <w:shd w:val="clear" w:color="auto" w:fill="FFFFFF"/>
        </w:rPr>
        <w:t xml:space="preserve"> (76 proc. objętych sprawdzeniem). Wykryte nieścisłości dotyczyły nieprawidłowej deklaracji zgodności (9 przypadków), deklaracja techniczna była niezgodna z przepisami (3 przypadki), brak znaku CE (jeden przypadek). Inspektorzy zakwestionowali również 9 nieprawidłowo sporządzonych instrukcji obsługi. </w:t>
      </w:r>
      <w:r>
        <w:rPr>
          <w:sz w:val="22"/>
          <w:shd w:val="clear" w:color="auto" w:fill="FFFFFF"/>
        </w:rPr>
        <w:br/>
      </w:r>
      <w:r>
        <w:rPr>
          <w:sz w:val="22"/>
        </w:rPr>
        <w:t>D</w:t>
      </w:r>
      <w:r w:rsidRPr="000171AA">
        <w:rPr>
          <w:sz w:val="22"/>
        </w:rPr>
        <w:t xml:space="preserve">o badań laboratoryjnych </w:t>
      </w:r>
      <w:r>
        <w:rPr>
          <w:sz w:val="22"/>
        </w:rPr>
        <w:t>wytypowaliśmy</w:t>
      </w:r>
      <w:r w:rsidRPr="000171AA">
        <w:rPr>
          <w:sz w:val="22"/>
        </w:rPr>
        <w:t xml:space="preserve"> </w:t>
      </w:r>
      <w:r w:rsidRPr="00DB78EB">
        <w:rPr>
          <w:b/>
          <w:sz w:val="22"/>
        </w:rPr>
        <w:t>15 kotłów</w:t>
      </w:r>
      <w:r>
        <w:rPr>
          <w:b/>
          <w:sz w:val="22"/>
        </w:rPr>
        <w:t>,</w:t>
      </w:r>
      <w:r w:rsidRPr="000171AA">
        <w:rPr>
          <w:sz w:val="22"/>
        </w:rPr>
        <w:t xml:space="preserve"> </w:t>
      </w:r>
      <w:r>
        <w:rPr>
          <w:sz w:val="22"/>
        </w:rPr>
        <w:t xml:space="preserve">z czego </w:t>
      </w:r>
      <w:r w:rsidR="00191BA9">
        <w:rPr>
          <w:sz w:val="22"/>
        </w:rPr>
        <w:t xml:space="preserve">zakwestionowaliśmy </w:t>
      </w:r>
      <w:r>
        <w:rPr>
          <w:sz w:val="22"/>
        </w:rPr>
        <w:t>2 modele</w:t>
      </w:r>
      <w:r w:rsidRPr="000171AA">
        <w:rPr>
          <w:b/>
          <w:sz w:val="22"/>
        </w:rPr>
        <w:t>.</w:t>
      </w:r>
      <w:r>
        <w:rPr>
          <w:szCs w:val="24"/>
        </w:rPr>
        <w:t xml:space="preserve"> </w:t>
      </w:r>
      <w:r>
        <w:rPr>
          <w:sz w:val="22"/>
        </w:rPr>
        <w:t>Jeden z badanych kotłów znacząco przekroczył normy emisji szkodliwych związków (tj. tlenk</w:t>
      </w:r>
      <w:r w:rsidR="000E246F">
        <w:rPr>
          <w:sz w:val="22"/>
        </w:rPr>
        <w:t>u</w:t>
      </w:r>
      <w:r>
        <w:rPr>
          <w:sz w:val="22"/>
        </w:rPr>
        <w:t xml:space="preserve"> azotu i tlenk</w:t>
      </w:r>
      <w:r w:rsidR="000E246F">
        <w:rPr>
          <w:sz w:val="22"/>
        </w:rPr>
        <w:t>u</w:t>
      </w:r>
      <w:r>
        <w:rPr>
          <w:sz w:val="22"/>
        </w:rPr>
        <w:t xml:space="preserve"> węgla). Używanie </w:t>
      </w:r>
      <w:r w:rsidR="000E246F">
        <w:rPr>
          <w:sz w:val="22"/>
        </w:rPr>
        <w:t>go</w:t>
      </w:r>
      <w:r>
        <w:rPr>
          <w:sz w:val="22"/>
        </w:rPr>
        <w:t xml:space="preserve"> stwarzałoby poważne zagrożenie dla środowiska i zdrowia. Sprzedawca na podstawie naszych wyników badań natychmiast wycofał </w:t>
      </w:r>
      <w:r w:rsidR="00C84454">
        <w:rPr>
          <w:sz w:val="22"/>
        </w:rPr>
        <w:t xml:space="preserve">niebezpieczny produkt </w:t>
      </w:r>
      <w:r>
        <w:rPr>
          <w:sz w:val="22"/>
        </w:rPr>
        <w:t>ze sprzedaży. Prezes UOKiK wszczął postępowanie administracyjn</w:t>
      </w:r>
      <w:r w:rsidR="00C84454">
        <w:rPr>
          <w:sz w:val="22"/>
        </w:rPr>
        <w:t>e w stosunku do producenta</w:t>
      </w:r>
      <w:r>
        <w:rPr>
          <w:sz w:val="22"/>
        </w:rPr>
        <w:t xml:space="preserve">. W przypadku </w:t>
      </w:r>
      <w:r w:rsidRPr="00C84454">
        <w:rPr>
          <w:sz w:val="22"/>
        </w:rPr>
        <w:t xml:space="preserve">drugiego kotła wartość </w:t>
      </w:r>
      <w:r w:rsidR="005454C0">
        <w:rPr>
          <w:sz w:val="22"/>
        </w:rPr>
        <w:t xml:space="preserve">emisji </w:t>
      </w:r>
      <w:r w:rsidRPr="00C84454">
        <w:rPr>
          <w:sz w:val="22"/>
        </w:rPr>
        <w:t>tlenku azotu przekraczała deklarowaną przez producenta</w:t>
      </w:r>
      <w:r w:rsidR="000E246F" w:rsidRPr="00C84454">
        <w:rPr>
          <w:sz w:val="22"/>
        </w:rPr>
        <w:t>,</w:t>
      </w:r>
      <w:r w:rsidRPr="00C84454">
        <w:rPr>
          <w:sz w:val="22"/>
        </w:rPr>
        <w:t xml:space="preserve"> </w:t>
      </w:r>
      <w:r w:rsidR="00914C42" w:rsidRPr="00914C42">
        <w:rPr>
          <w:sz w:val="22"/>
        </w:rPr>
        <w:t>jednak mieściła się w ramach maksymalnych emisji – po dokonaniu korekty deklarowanych przez producenta wartości produkt jest zgodny z wymaganiami</w:t>
      </w:r>
      <w:r w:rsidR="00914C42">
        <w:rPr>
          <w:sz w:val="22"/>
        </w:rPr>
        <w:t>.</w:t>
      </w:r>
    </w:p>
    <w:p w14:paraId="34EF15C1" w14:textId="56DE0D48" w:rsidR="00290C08" w:rsidRDefault="00290C08" w:rsidP="008F131D">
      <w:pPr>
        <w:spacing w:before="240" w:line="360" w:lineRule="auto"/>
        <w:jc w:val="both"/>
        <w:rPr>
          <w:sz w:val="22"/>
          <w:shd w:val="clear" w:color="auto" w:fill="FFFFFF"/>
        </w:rPr>
      </w:pPr>
      <w:r w:rsidRPr="009C453E">
        <w:rPr>
          <w:sz w:val="22"/>
          <w:shd w:val="clear" w:color="auto" w:fill="FFFFFF"/>
        </w:rPr>
        <w:t xml:space="preserve">Pobierz </w:t>
      </w:r>
      <w:hyperlink r:id="rId11" w:history="1">
        <w:r w:rsidRPr="00616F6F">
          <w:rPr>
            <w:rStyle w:val="Hipercze"/>
            <w:sz w:val="22"/>
            <w:shd w:val="clear" w:color="auto" w:fill="FFFFFF"/>
          </w:rPr>
          <w:t>informację</w:t>
        </w:r>
      </w:hyperlink>
      <w:r w:rsidRPr="009C453E">
        <w:rPr>
          <w:sz w:val="22"/>
          <w:shd w:val="clear" w:color="auto" w:fill="FFFFFF"/>
        </w:rPr>
        <w:t xml:space="preserve"> z projektu oraz </w:t>
      </w:r>
      <w:hyperlink r:id="rId12" w:history="1">
        <w:r w:rsidRPr="00616F6F">
          <w:rPr>
            <w:rStyle w:val="Hipercze"/>
            <w:sz w:val="22"/>
            <w:shd w:val="clear" w:color="auto" w:fill="FFFFFF"/>
          </w:rPr>
          <w:t>wykaz</w:t>
        </w:r>
      </w:hyperlink>
      <w:r w:rsidRPr="009C453E">
        <w:rPr>
          <w:sz w:val="22"/>
          <w:shd w:val="clear" w:color="auto" w:fill="FFFFFF"/>
        </w:rPr>
        <w:t xml:space="preserve"> sprawdzonych </w:t>
      </w:r>
      <w:r w:rsidR="005D61AD">
        <w:rPr>
          <w:sz w:val="22"/>
          <w:shd w:val="clear" w:color="auto" w:fill="FFFFFF"/>
        </w:rPr>
        <w:t>produktów.</w:t>
      </w:r>
    </w:p>
    <w:p w14:paraId="53226BAC" w14:textId="77777777" w:rsidR="00290C08" w:rsidRDefault="00290C08" w:rsidP="008F131D">
      <w:pPr>
        <w:spacing w:before="240" w:line="360" w:lineRule="auto"/>
        <w:jc w:val="both"/>
        <w:rPr>
          <w:b/>
          <w:sz w:val="22"/>
          <w:shd w:val="clear" w:color="auto" w:fill="FFFFFF"/>
        </w:rPr>
      </w:pPr>
      <w:r w:rsidRPr="008A27FD">
        <w:rPr>
          <w:b/>
          <w:sz w:val="22"/>
          <w:shd w:val="clear" w:color="auto" w:fill="FFFFFF"/>
        </w:rPr>
        <w:t>Kotły na paliwo gazowe lub ciekłe</w:t>
      </w:r>
      <w:r>
        <w:rPr>
          <w:b/>
          <w:sz w:val="22"/>
          <w:shd w:val="clear" w:color="auto" w:fill="FFFFFF"/>
        </w:rPr>
        <w:t xml:space="preserve"> – wyniki kontroli </w:t>
      </w:r>
    </w:p>
    <w:p w14:paraId="6A89882A" w14:textId="5E3F4007" w:rsidR="00290C08" w:rsidRPr="009C453E" w:rsidRDefault="00290C08" w:rsidP="008F131D">
      <w:pPr>
        <w:spacing w:before="240" w:after="24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 w:rsidRPr="009C453E">
        <w:rPr>
          <w:rFonts w:cs="Arial"/>
          <w:color w:val="000000"/>
          <w:sz w:val="22"/>
          <w:shd w:val="clear" w:color="auto" w:fill="FFFFFF"/>
        </w:rPr>
        <w:t xml:space="preserve">Inspekcja Handlowa sprawdziła 15 kotłów na paliwo gazowe lub ciekłe wprowadzonych do obrotu po </w:t>
      </w:r>
      <w:r w:rsidR="00914C42">
        <w:rPr>
          <w:rFonts w:cs="Arial"/>
          <w:color w:val="000000"/>
          <w:sz w:val="22"/>
          <w:shd w:val="clear" w:color="auto" w:fill="FFFFFF"/>
        </w:rPr>
        <w:t xml:space="preserve">zmianie wymogów dotyczących tlenków azotu. </w:t>
      </w:r>
      <w:r w:rsidRPr="009C453E">
        <w:rPr>
          <w:rFonts w:cs="Arial"/>
          <w:color w:val="000000"/>
          <w:sz w:val="22"/>
          <w:shd w:val="clear" w:color="auto" w:fill="FFFFFF"/>
        </w:rPr>
        <w:t>Tylko w</w:t>
      </w:r>
      <w:r w:rsidR="00914C42">
        <w:rPr>
          <w:rFonts w:cs="Arial"/>
          <w:color w:val="000000"/>
          <w:sz w:val="22"/>
          <w:shd w:val="clear" w:color="auto" w:fill="FFFFFF"/>
        </w:rPr>
        <w:t xml:space="preserve"> </w:t>
      </w:r>
      <w:r w:rsidRPr="009C453E">
        <w:rPr>
          <w:rFonts w:cs="Arial"/>
          <w:color w:val="000000"/>
          <w:sz w:val="22"/>
          <w:shd w:val="clear" w:color="auto" w:fill="FFFFFF"/>
        </w:rPr>
        <w:t>jednym przypadku inspektorzy zakwestionowali względy formalne. Dotyczyły one nieścisłości pomiędzy wytycznymi instalacji i konserwacji a instrukcją obsługi — sprzeczne informacje mogły wprowadzić konsumenta w błąd. W zaistniałej sytuacji producent podjął dobrowolnie działania naprawcze.</w:t>
      </w:r>
    </w:p>
    <w:p w14:paraId="39399591" w14:textId="77777777" w:rsidR="00290C08" w:rsidRDefault="00290C08" w:rsidP="008F131D">
      <w:pPr>
        <w:spacing w:before="240" w:after="240" w:line="360" w:lineRule="auto"/>
        <w:jc w:val="both"/>
        <w:rPr>
          <w:sz w:val="22"/>
        </w:rPr>
      </w:pPr>
      <w:r>
        <w:rPr>
          <w:sz w:val="22"/>
        </w:rPr>
        <w:t>W laboratorium zbadaliśmy, czy kotły p</w:t>
      </w:r>
      <w:r w:rsidRPr="00B527E6">
        <w:rPr>
          <w:sz w:val="22"/>
        </w:rPr>
        <w:t xml:space="preserve">odczas spalania nie emitują niebezpiecznych substancji do atmosfery, a także czy posiadają odpowiednią sprawność sezonowej </w:t>
      </w:r>
      <w:r w:rsidRPr="00B527E6">
        <w:rPr>
          <w:sz w:val="22"/>
        </w:rPr>
        <w:lastRenderedPageBreak/>
        <w:t>efektywności energetycznej</w:t>
      </w:r>
      <w:r>
        <w:rPr>
          <w:sz w:val="22"/>
        </w:rPr>
        <w:t xml:space="preserve">. Do badań wytypowano 5 kotłów na paliwo gazowe oraz 2 kotły na paliwo ciekłe. Wykonane </w:t>
      </w:r>
      <w:r w:rsidRPr="00823F21">
        <w:rPr>
          <w:b/>
          <w:sz w:val="22"/>
        </w:rPr>
        <w:t>badania nie wykazały przekroczenia norm</w:t>
      </w:r>
      <w:r>
        <w:rPr>
          <w:sz w:val="22"/>
        </w:rPr>
        <w:t xml:space="preserve">. </w:t>
      </w:r>
    </w:p>
    <w:p w14:paraId="712B9B23" w14:textId="1BE3B6B3" w:rsidR="00290C08" w:rsidRDefault="00B22608" w:rsidP="008F131D">
      <w:pPr>
        <w:spacing w:after="240" w:line="360" w:lineRule="auto"/>
        <w:jc w:val="both"/>
        <w:rPr>
          <w:sz w:val="22"/>
        </w:rPr>
      </w:pPr>
      <w:r>
        <w:rPr>
          <w:i/>
          <w:sz w:val="22"/>
        </w:rPr>
        <w:t>-</w:t>
      </w:r>
      <w:r w:rsidR="002A55F4">
        <w:rPr>
          <w:i/>
          <w:sz w:val="22"/>
        </w:rPr>
        <w:t>W 2021 roku po raz pierwszy przeprowadzaliśmy k</w:t>
      </w:r>
      <w:r w:rsidR="00290C08">
        <w:rPr>
          <w:i/>
          <w:sz w:val="22"/>
        </w:rPr>
        <w:t>ontrolę kotłów na paliwo gazowe i ciekłe</w:t>
      </w:r>
      <w:r w:rsidR="00290C08" w:rsidRPr="002412C1">
        <w:rPr>
          <w:i/>
          <w:sz w:val="22"/>
        </w:rPr>
        <w:t>. Wynika z niej, że przedsiębiorcy stosują się do wymogów dotyczących emisji substancji niebezpiecznych do środowiska</w:t>
      </w:r>
      <w:r w:rsidR="00290C08">
        <w:rPr>
          <w:i/>
          <w:sz w:val="22"/>
        </w:rPr>
        <w:t xml:space="preserve"> </w:t>
      </w:r>
      <w:r w:rsidR="00290C08" w:rsidRPr="002412C1">
        <w:rPr>
          <w:i/>
          <w:sz w:val="22"/>
        </w:rPr>
        <w:t>-</w:t>
      </w:r>
      <w:r w:rsidR="00290C08" w:rsidRPr="002412C1">
        <w:t xml:space="preserve"> </w:t>
      </w:r>
      <w:r w:rsidR="00290C08">
        <w:rPr>
          <w:sz w:val="22"/>
        </w:rPr>
        <w:t xml:space="preserve">mówi Tomasz Chróstny, Prezes </w:t>
      </w:r>
      <w:r w:rsidR="00290C08" w:rsidRPr="002412C1">
        <w:rPr>
          <w:sz w:val="22"/>
        </w:rPr>
        <w:t>UOKiK</w:t>
      </w:r>
      <w:r w:rsidR="00290C08">
        <w:rPr>
          <w:sz w:val="22"/>
        </w:rPr>
        <w:t>.</w:t>
      </w:r>
    </w:p>
    <w:p w14:paraId="30EB8826" w14:textId="468C9261" w:rsidR="00290C08" w:rsidRDefault="00290C08" w:rsidP="008F131D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Pobierz </w:t>
      </w:r>
      <w:hyperlink r:id="rId13" w:history="1">
        <w:r w:rsidRPr="00A71B6E">
          <w:rPr>
            <w:rStyle w:val="Hipercze"/>
            <w:sz w:val="22"/>
          </w:rPr>
          <w:t>raport</w:t>
        </w:r>
      </w:hyperlink>
      <w:r w:rsidR="00A71B6E">
        <w:rPr>
          <w:sz w:val="22"/>
        </w:rPr>
        <w:t>,</w:t>
      </w:r>
      <w:r>
        <w:rPr>
          <w:sz w:val="22"/>
        </w:rPr>
        <w:t xml:space="preserve"> </w:t>
      </w:r>
      <w:hyperlink r:id="rId14" w:history="1">
        <w:r w:rsidR="00A71B6E" w:rsidRPr="00A71B6E">
          <w:rPr>
            <w:rStyle w:val="Hipercze"/>
            <w:sz w:val="22"/>
          </w:rPr>
          <w:t>wykaz1</w:t>
        </w:r>
      </w:hyperlink>
      <w:r w:rsidR="00A71B6E">
        <w:rPr>
          <w:sz w:val="22"/>
        </w:rPr>
        <w:t xml:space="preserve"> i </w:t>
      </w:r>
      <w:hyperlink r:id="rId15" w:history="1">
        <w:r w:rsidR="00A71B6E" w:rsidRPr="00A71B6E">
          <w:rPr>
            <w:rStyle w:val="Hipercze"/>
            <w:sz w:val="22"/>
          </w:rPr>
          <w:t>wykaz2</w:t>
        </w:r>
      </w:hyperlink>
      <w:r w:rsidR="00A71B6E">
        <w:rPr>
          <w:sz w:val="22"/>
        </w:rPr>
        <w:t xml:space="preserve"> </w:t>
      </w:r>
      <w:r>
        <w:rPr>
          <w:sz w:val="22"/>
        </w:rPr>
        <w:t>sprawdzonych kotłów.</w:t>
      </w:r>
      <w:bookmarkStart w:id="0" w:name="_GoBack"/>
      <w:bookmarkEnd w:id="0"/>
    </w:p>
    <w:p w14:paraId="56D2EC26" w14:textId="77777777" w:rsidR="00290C08" w:rsidRPr="007661F9" w:rsidRDefault="00290C08" w:rsidP="008F131D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Kupując kocioł, z</w:t>
      </w:r>
      <w:r w:rsidRPr="007661F9">
        <w:rPr>
          <w:b/>
          <w:sz w:val="22"/>
        </w:rPr>
        <w:t>wróć uwagę na:</w:t>
      </w:r>
    </w:p>
    <w:p w14:paraId="74BA5F8B" w14:textId="77777777" w:rsidR="00290C08" w:rsidRPr="007661F9" w:rsidRDefault="00290C08" w:rsidP="008F131D">
      <w:pPr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7661F9">
        <w:rPr>
          <w:b/>
          <w:bCs/>
          <w:sz w:val="22"/>
        </w:rPr>
        <w:t>Znak CE </w:t>
      </w:r>
      <w:r w:rsidRPr="007661F9">
        <w:rPr>
          <w:sz w:val="22"/>
        </w:rPr>
        <w:t>- musi być nim oznaczony każdy kocioł.</w:t>
      </w:r>
    </w:p>
    <w:p w14:paraId="2CF04D5C" w14:textId="77777777" w:rsidR="00290C08" w:rsidRPr="007661F9" w:rsidRDefault="00290C08" w:rsidP="008F131D">
      <w:pPr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7661F9">
        <w:rPr>
          <w:b/>
          <w:bCs/>
          <w:sz w:val="22"/>
        </w:rPr>
        <w:t>Wykonanie kotła</w:t>
      </w:r>
      <w:r w:rsidRPr="007661F9">
        <w:rPr>
          <w:sz w:val="22"/>
        </w:rPr>
        <w:t> – np. jakość spawów, występowanie ostrych krawędzi, o które moż</w:t>
      </w:r>
      <w:r>
        <w:rPr>
          <w:sz w:val="22"/>
        </w:rPr>
        <w:t>na</w:t>
      </w:r>
      <w:r w:rsidRPr="007661F9">
        <w:rPr>
          <w:sz w:val="22"/>
        </w:rPr>
        <w:t xml:space="preserve"> się </w:t>
      </w:r>
      <w:r>
        <w:rPr>
          <w:sz w:val="22"/>
        </w:rPr>
        <w:t>z</w:t>
      </w:r>
      <w:r w:rsidRPr="007661F9">
        <w:rPr>
          <w:sz w:val="22"/>
        </w:rPr>
        <w:t>ranić.</w:t>
      </w:r>
    </w:p>
    <w:p w14:paraId="19D491A0" w14:textId="77777777" w:rsidR="00290C08" w:rsidRPr="007661F9" w:rsidRDefault="00290C08" w:rsidP="008F131D">
      <w:pPr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7661F9">
        <w:rPr>
          <w:b/>
          <w:bCs/>
          <w:sz w:val="22"/>
        </w:rPr>
        <w:t>Wyposażenie kotła</w:t>
      </w:r>
      <w:r>
        <w:rPr>
          <w:sz w:val="22"/>
        </w:rPr>
        <w:t xml:space="preserve"> - </w:t>
      </w:r>
      <w:r w:rsidRPr="007661F9">
        <w:rPr>
          <w:sz w:val="22"/>
        </w:rPr>
        <w:t xml:space="preserve">kocioł musi </w:t>
      </w:r>
      <w:r>
        <w:rPr>
          <w:sz w:val="22"/>
        </w:rPr>
        <w:t>mieć</w:t>
      </w:r>
      <w:r w:rsidRPr="007661F9">
        <w:rPr>
          <w:sz w:val="22"/>
        </w:rPr>
        <w:t> </w:t>
      </w:r>
      <w:r w:rsidRPr="007661F9">
        <w:rPr>
          <w:b/>
          <w:bCs/>
          <w:sz w:val="22"/>
        </w:rPr>
        <w:t>zawory bezpieczeństwa</w:t>
      </w:r>
      <w:r>
        <w:rPr>
          <w:sz w:val="22"/>
        </w:rPr>
        <w:t xml:space="preserve"> (</w:t>
      </w:r>
      <w:r w:rsidRPr="007661F9">
        <w:rPr>
          <w:sz w:val="22"/>
        </w:rPr>
        <w:t>np. przy sterowniku</w:t>
      </w:r>
      <w:r>
        <w:rPr>
          <w:sz w:val="22"/>
        </w:rPr>
        <w:t>) oraz</w:t>
      </w:r>
      <w:r w:rsidRPr="007661F9">
        <w:rPr>
          <w:sz w:val="22"/>
        </w:rPr>
        <w:t xml:space="preserve"> łatwo dostępny </w:t>
      </w:r>
      <w:r w:rsidRPr="001C5DE0">
        <w:rPr>
          <w:b/>
          <w:sz w:val="22"/>
        </w:rPr>
        <w:t>ogranicznik temperatury bezpieczeństwa</w:t>
      </w:r>
      <w:r w:rsidRPr="007661F9">
        <w:rPr>
          <w:sz w:val="22"/>
        </w:rPr>
        <w:t xml:space="preserve"> (STB) – czyli system zabezpieczający wytwornicę ciepła przed przegrzaniem. Powinien być wyposażony w </w:t>
      </w:r>
      <w:r w:rsidRPr="007661F9">
        <w:rPr>
          <w:b/>
          <w:bCs/>
          <w:sz w:val="22"/>
        </w:rPr>
        <w:t>zawirowywacze</w:t>
      </w:r>
      <w:r w:rsidRPr="007661F9">
        <w:rPr>
          <w:sz w:val="22"/>
        </w:rPr>
        <w:t>, które montuje się w kanałach spalinowych kotłów. Zaburzają one ruch spalin po to, aby wymiana ciepła między gazami spalinowymi a krążącą w wymienn</w:t>
      </w:r>
      <w:r>
        <w:rPr>
          <w:sz w:val="22"/>
        </w:rPr>
        <w:t>iku kotła wodą była intensywna. Przekłada się to na wysoką</w:t>
      </w:r>
      <w:r w:rsidRPr="007661F9">
        <w:rPr>
          <w:sz w:val="22"/>
        </w:rPr>
        <w:t xml:space="preserve"> sprawność urządzenia. Kocioł </w:t>
      </w:r>
      <w:r w:rsidRPr="001C5DE0">
        <w:rPr>
          <w:b/>
          <w:sz w:val="22"/>
        </w:rPr>
        <w:t>nie może mieć dodatkowego rusztu</w:t>
      </w:r>
      <w:r w:rsidRPr="007661F9">
        <w:rPr>
          <w:sz w:val="22"/>
        </w:rPr>
        <w:t>.</w:t>
      </w:r>
    </w:p>
    <w:p w14:paraId="0AE35A61" w14:textId="77777777" w:rsidR="00290C08" w:rsidRPr="007661F9" w:rsidRDefault="00290C08" w:rsidP="008F131D">
      <w:pPr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7661F9">
        <w:rPr>
          <w:b/>
          <w:bCs/>
          <w:sz w:val="22"/>
        </w:rPr>
        <w:t>Materiały</w:t>
      </w:r>
      <w:r>
        <w:rPr>
          <w:b/>
          <w:bCs/>
          <w:sz w:val="22"/>
        </w:rPr>
        <w:t xml:space="preserve">, </w:t>
      </w:r>
      <w:r w:rsidRPr="007661F9">
        <w:rPr>
          <w:b/>
          <w:bCs/>
          <w:sz w:val="22"/>
        </w:rPr>
        <w:t>z jakich wykonano komorę</w:t>
      </w:r>
      <w:r w:rsidRPr="007661F9">
        <w:rPr>
          <w:sz w:val="22"/>
        </w:rPr>
        <w:t> </w:t>
      </w:r>
      <w:r w:rsidRPr="007661F9">
        <w:rPr>
          <w:b/>
          <w:bCs/>
          <w:sz w:val="22"/>
        </w:rPr>
        <w:t>kotła</w:t>
      </w:r>
      <w:r w:rsidRPr="007661F9">
        <w:rPr>
          <w:sz w:val="22"/>
        </w:rPr>
        <w:t xml:space="preserve"> - w przypadku kotłów węglowych sprawdź, czy palenisko jest wyposażone w elementy ceramiczne, które </w:t>
      </w:r>
      <w:r>
        <w:rPr>
          <w:sz w:val="22"/>
        </w:rPr>
        <w:t>gromadzą</w:t>
      </w:r>
      <w:r w:rsidRPr="007661F9">
        <w:rPr>
          <w:sz w:val="22"/>
        </w:rPr>
        <w:t xml:space="preserve"> ciepło. To pozwala uzyskać wysoką temperaturę, w której następuje dokładne spalanie substancji lotnych wy</w:t>
      </w:r>
      <w:r>
        <w:rPr>
          <w:sz w:val="22"/>
        </w:rPr>
        <w:t>dzielających się z paliwa, co</w:t>
      </w:r>
      <w:r w:rsidRPr="007661F9">
        <w:rPr>
          <w:sz w:val="22"/>
        </w:rPr>
        <w:t xml:space="preserve"> oznacza mniejszą emisję szkodliwych związków do atmosfery.</w:t>
      </w:r>
    </w:p>
    <w:p w14:paraId="4F0EF801" w14:textId="5A25D2D4" w:rsidR="00290C08" w:rsidRDefault="00290C08" w:rsidP="008F131D">
      <w:pPr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7661F9">
        <w:rPr>
          <w:b/>
          <w:bCs/>
          <w:sz w:val="22"/>
        </w:rPr>
        <w:t>Wskazanie rodzaju paliwa</w:t>
      </w:r>
      <w:r>
        <w:rPr>
          <w:sz w:val="22"/>
        </w:rPr>
        <w:t xml:space="preserve">, </w:t>
      </w:r>
      <w:r w:rsidRPr="007661F9">
        <w:rPr>
          <w:sz w:val="22"/>
        </w:rPr>
        <w:t xml:space="preserve">jakim można palić w kotle – im więcej rodzajów paliwa można stosować, tym niższa może być sprawność urządzenia. Ponadto </w:t>
      </w:r>
      <w:r w:rsidR="002D4AA9">
        <w:rPr>
          <w:sz w:val="22"/>
        </w:rPr>
        <w:t>uży</w:t>
      </w:r>
      <w:r w:rsidR="002D4AA9" w:rsidRPr="007661F9">
        <w:rPr>
          <w:sz w:val="22"/>
        </w:rPr>
        <w:t xml:space="preserve">wanie </w:t>
      </w:r>
      <w:r w:rsidRPr="007661F9">
        <w:rPr>
          <w:sz w:val="22"/>
        </w:rPr>
        <w:t xml:space="preserve">paliwa innego niż wskazane przez producenta może zwiększyć emisję szkodliwych związków do atmosfery lub uszkodzić kocioł. Zwróć także uwagę czy </w:t>
      </w:r>
      <w:r>
        <w:rPr>
          <w:sz w:val="22"/>
        </w:rPr>
        <w:t>tam, gdzie</w:t>
      </w:r>
      <w:r w:rsidRPr="007661F9">
        <w:rPr>
          <w:sz w:val="22"/>
        </w:rPr>
        <w:t xml:space="preserve"> mieszkasz, nie obowiązuje zakaz używania danego rodzaju paliwa.</w:t>
      </w:r>
    </w:p>
    <w:p w14:paraId="7815F4D7" w14:textId="77777777" w:rsidR="0072216A" w:rsidRPr="00346614" w:rsidRDefault="0072216A" w:rsidP="0072216A">
      <w:pPr>
        <w:spacing w:after="240" w:line="360" w:lineRule="auto"/>
        <w:ind w:left="720"/>
        <w:jc w:val="both"/>
        <w:rPr>
          <w:rStyle w:val="Pogrubienie"/>
          <w:b w:val="0"/>
          <w:bCs w:val="0"/>
          <w:sz w:val="22"/>
        </w:rPr>
      </w:pPr>
    </w:p>
    <w:p w14:paraId="0C4D241F" w14:textId="77777777" w:rsidR="00290C08" w:rsidRPr="00346614" w:rsidRDefault="00290C08" w:rsidP="008F131D">
      <w:pPr>
        <w:spacing w:before="240" w:after="160" w:line="360" w:lineRule="auto"/>
        <w:jc w:val="both"/>
        <w:rPr>
          <w:rStyle w:val="Pogrubienie"/>
          <w:rFonts w:cs="Tahoma"/>
          <w:sz w:val="22"/>
        </w:rPr>
      </w:pPr>
      <w:r w:rsidRPr="00346614">
        <w:rPr>
          <w:rStyle w:val="Pogrubienie"/>
          <w:rFonts w:cs="Tahoma"/>
          <w:sz w:val="22"/>
        </w:rPr>
        <w:lastRenderedPageBreak/>
        <w:t>Przy wyborze kotła warto sprawdzić parametry, które ułatwią jego użytkowanie tj.:</w:t>
      </w:r>
    </w:p>
    <w:p w14:paraId="066F6001" w14:textId="65FC0B85" w:rsidR="00290C08" w:rsidRPr="00346614" w:rsidRDefault="00290C08" w:rsidP="008F131D">
      <w:pPr>
        <w:pStyle w:val="Akapitzlist"/>
        <w:numPr>
          <w:ilvl w:val="0"/>
          <w:numId w:val="10"/>
        </w:numPr>
        <w:spacing w:before="240" w:after="160" w:line="360" w:lineRule="auto"/>
        <w:jc w:val="both"/>
        <w:rPr>
          <w:sz w:val="22"/>
        </w:rPr>
      </w:pPr>
      <w:r w:rsidRPr="00346614">
        <w:rPr>
          <w:b/>
          <w:sz w:val="22"/>
        </w:rPr>
        <w:t>Sprawność kotła wskazana przez producenta</w:t>
      </w:r>
      <w:r w:rsidRPr="00346614">
        <w:rPr>
          <w:sz w:val="22"/>
        </w:rPr>
        <w:t xml:space="preserve"> - im wyższa sprawność kotła, tym więcej ciepła można uzyskać z porcji paliwa, a zatem mniej go zużywać, nie zmniejszając komfortu domowników.</w:t>
      </w:r>
    </w:p>
    <w:p w14:paraId="79C2B650" w14:textId="77777777" w:rsidR="00290C08" w:rsidRPr="00346614" w:rsidRDefault="00290C08" w:rsidP="008F131D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sz w:val="22"/>
        </w:rPr>
      </w:pPr>
      <w:r w:rsidRPr="00346614">
        <w:rPr>
          <w:b/>
          <w:sz w:val="22"/>
        </w:rPr>
        <w:t>Sposób podawania paliwa</w:t>
      </w:r>
      <w:r w:rsidRPr="00346614">
        <w:rPr>
          <w:sz w:val="22"/>
        </w:rPr>
        <w:t xml:space="preserve"> - czy paliwo jest podawane ręcznie czy automatycznie – ten drugi sposób oszczędza twój czas.</w:t>
      </w:r>
    </w:p>
    <w:p w14:paraId="3DD924DB" w14:textId="77777777" w:rsidR="00290C08" w:rsidRPr="00346614" w:rsidRDefault="00290C08" w:rsidP="008F131D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sz w:val="22"/>
        </w:rPr>
      </w:pPr>
      <w:r w:rsidRPr="00346614">
        <w:rPr>
          <w:b/>
          <w:sz w:val="22"/>
        </w:rPr>
        <w:t>Sposób spalania paliwa</w:t>
      </w:r>
      <w:r w:rsidRPr="00346614">
        <w:rPr>
          <w:sz w:val="22"/>
        </w:rPr>
        <w:t xml:space="preserve"> - kotły ze spalaniem dolnym zużywają mniej paliwa. W takich piecach pali się tylko niewielka jego część, w dolnej części komory zasypowej.</w:t>
      </w:r>
    </w:p>
    <w:p w14:paraId="4E67C0E5" w14:textId="77777777" w:rsidR="00290C08" w:rsidRPr="0087569D" w:rsidRDefault="00290C08" w:rsidP="008F131D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sz w:val="22"/>
        </w:rPr>
      </w:pPr>
      <w:r w:rsidRPr="00346614">
        <w:rPr>
          <w:b/>
          <w:sz w:val="22"/>
        </w:rPr>
        <w:t>Pojemność komory zasypowej przy automatycznym podawaniu</w:t>
      </w:r>
      <w:r w:rsidRPr="00346614">
        <w:rPr>
          <w:sz w:val="22"/>
        </w:rPr>
        <w:t xml:space="preserve"> - jak długo kocioł będzie grzał bez konieczności uzupełniania paliwa.</w:t>
      </w:r>
    </w:p>
    <w:p w14:paraId="7D5FFB23" w14:textId="77777777" w:rsidR="00290C08" w:rsidRPr="00346614" w:rsidRDefault="00290C08" w:rsidP="008F131D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sz w:val="22"/>
        </w:rPr>
      </w:pPr>
      <w:r w:rsidRPr="00346614">
        <w:rPr>
          <w:b/>
          <w:sz w:val="22"/>
        </w:rPr>
        <w:t>Sposób czyszczenia</w:t>
      </w:r>
      <w:r w:rsidRPr="00346614">
        <w:rPr>
          <w:sz w:val="22"/>
        </w:rPr>
        <w:t xml:space="preserve"> – produkty spalania (np. sadza) osadzają się na elementach kotła i mogą prowadzić do zmniejszenia jego sprawności lub nawet samozapłonu. Łatwy dostęp do paleniska pozwoli na utrzymanie urządzenia na odpowiednim poziomie sprawności. Kocioł może być wyposażony w system półautomatycznego oczyszczania, co ułatwi dbanie o jego sprawność. Jeżeli do czyszczenia i konserwacji konieczne są profesjonalne narzędzia (np. specjalne szczotki), to powinny być one dostarczone wraz z kotłem.</w:t>
      </w:r>
    </w:p>
    <w:p w14:paraId="5490F303" w14:textId="77777777" w:rsidR="00290C08" w:rsidRPr="00507DDB" w:rsidRDefault="00290C08" w:rsidP="008F131D">
      <w:pPr>
        <w:spacing w:before="240" w:after="120" w:line="276" w:lineRule="auto"/>
        <w:jc w:val="both"/>
        <w:rPr>
          <w:bCs/>
          <w:sz w:val="22"/>
        </w:rPr>
      </w:pPr>
      <w:r w:rsidRPr="00507DDB">
        <w:rPr>
          <w:rStyle w:val="Pogrubienie"/>
          <w:rFonts w:cs="Tahoma"/>
        </w:rPr>
        <w:t>Pomoc dla konsumentów:</w:t>
      </w:r>
      <w:r w:rsidRPr="00507DDB">
        <w:rPr>
          <w:szCs w:val="18"/>
        </w:rPr>
        <w:t xml:space="preserve"> </w:t>
      </w:r>
    </w:p>
    <w:p w14:paraId="57C7A89C" w14:textId="77777777" w:rsidR="00290C08" w:rsidRPr="00507DDB" w:rsidRDefault="00290C08" w:rsidP="00C84454">
      <w:pPr>
        <w:spacing w:before="240" w:after="240" w:line="360" w:lineRule="auto"/>
        <w:rPr>
          <w:szCs w:val="18"/>
        </w:rPr>
      </w:pPr>
      <w:r w:rsidRPr="00507DDB">
        <w:rPr>
          <w:rFonts w:cs="Tahoma"/>
          <w:szCs w:val="18"/>
        </w:rPr>
        <w:t>Tel. 801 440 220 lub 22 290 89 16 – infolinia konsumencka</w:t>
      </w:r>
      <w:r w:rsidRPr="00507DDB">
        <w:rPr>
          <w:rFonts w:cs="Tahoma"/>
          <w:szCs w:val="18"/>
        </w:rPr>
        <w:br/>
        <w:t>E-mail:</w:t>
      </w:r>
      <w:r w:rsidRPr="00507DDB">
        <w:rPr>
          <w:szCs w:val="18"/>
        </w:rPr>
        <w:t xml:space="preserve"> </w:t>
      </w:r>
      <w:hyperlink r:id="rId16" w:history="1">
        <w:r w:rsidRPr="00507DDB">
          <w:rPr>
            <w:rStyle w:val="Hipercze"/>
            <w:color w:val="auto"/>
            <w:szCs w:val="18"/>
          </w:rPr>
          <w:t>porady@dlakonsumentow.pl</w:t>
        </w:r>
      </w:hyperlink>
      <w:r w:rsidRPr="00507DDB">
        <w:rPr>
          <w:szCs w:val="18"/>
        </w:rPr>
        <w:t xml:space="preserve"> </w:t>
      </w:r>
      <w:r w:rsidRPr="00507DDB">
        <w:rPr>
          <w:szCs w:val="18"/>
        </w:rPr>
        <w:br/>
      </w:r>
      <w:hyperlink r:id="rId17" w:history="1">
        <w:r w:rsidRPr="00507DDB">
          <w:rPr>
            <w:rStyle w:val="Hipercze"/>
            <w:color w:val="auto"/>
            <w:szCs w:val="18"/>
          </w:rPr>
          <w:t>Rzecznicy konsumentów</w:t>
        </w:r>
      </w:hyperlink>
      <w:r w:rsidRPr="00507DDB">
        <w:rPr>
          <w:szCs w:val="18"/>
        </w:rPr>
        <w:t xml:space="preserve"> – w Twoim mieście lub powiecie</w:t>
      </w:r>
      <w:r w:rsidRPr="00507DDB">
        <w:rPr>
          <w:szCs w:val="18"/>
        </w:rPr>
        <w:br/>
      </w:r>
      <w:r w:rsidRPr="00507DDB">
        <w:rPr>
          <w:rStyle w:val="Hipercze"/>
          <w:color w:val="auto"/>
          <w:szCs w:val="18"/>
        </w:rPr>
        <w:t>Inspekcja Handlowa</w:t>
      </w:r>
      <w:r w:rsidRPr="00507DDB">
        <w:rPr>
          <w:szCs w:val="18"/>
        </w:rPr>
        <w:t xml:space="preserve"> – w Twoim województwie</w:t>
      </w:r>
    </w:p>
    <w:p w14:paraId="219C3F71" w14:textId="77777777" w:rsidR="00290C08" w:rsidRPr="00507DDB" w:rsidRDefault="00290C08" w:rsidP="008F131D">
      <w:pPr>
        <w:spacing w:before="240" w:line="360" w:lineRule="auto"/>
        <w:jc w:val="both"/>
        <w:rPr>
          <w:b/>
        </w:rPr>
      </w:pPr>
      <w:r w:rsidRPr="00507DDB">
        <w:rPr>
          <w:b/>
        </w:rPr>
        <w:t xml:space="preserve">Dodatkowe informacje dla mediów: </w:t>
      </w:r>
    </w:p>
    <w:p w14:paraId="023A9291" w14:textId="77777777" w:rsidR="00290C08" w:rsidRPr="00507DDB" w:rsidRDefault="00290C08" w:rsidP="008F131D">
      <w:pPr>
        <w:spacing w:before="240" w:line="360" w:lineRule="auto"/>
        <w:jc w:val="both"/>
      </w:pPr>
      <w:r w:rsidRPr="00507DDB">
        <w:t xml:space="preserve">Biuro Prasowe  UOKiK  </w:t>
      </w:r>
    </w:p>
    <w:p w14:paraId="1C158737" w14:textId="77777777" w:rsidR="00290C08" w:rsidRPr="00507DDB" w:rsidRDefault="00290C08" w:rsidP="008F131D">
      <w:pPr>
        <w:spacing w:line="360" w:lineRule="auto"/>
        <w:jc w:val="both"/>
      </w:pPr>
      <w:r w:rsidRPr="00507DDB">
        <w:t xml:space="preserve">Pl. Powstańców Warszawy 1, 00-950 Warszawa </w:t>
      </w:r>
    </w:p>
    <w:p w14:paraId="00F107DA" w14:textId="77777777" w:rsidR="00290C08" w:rsidRPr="00507DDB" w:rsidRDefault="00290C08" w:rsidP="008F131D">
      <w:pPr>
        <w:spacing w:line="360" w:lineRule="auto"/>
        <w:jc w:val="both"/>
        <w:rPr>
          <w:rStyle w:val="Hipercze"/>
          <w:color w:val="auto"/>
          <w:u w:val="none"/>
        </w:rPr>
      </w:pPr>
      <w:r w:rsidRPr="00507DDB">
        <w:t xml:space="preserve">Tel. 695 902 088, </w:t>
      </w:r>
      <w:r w:rsidRPr="00507DDB">
        <w:rPr>
          <w:rFonts w:cs="Segoe UI"/>
          <w:szCs w:val="18"/>
          <w:shd w:val="clear" w:color="auto" w:fill="FFFFFF"/>
        </w:rPr>
        <w:t>22 55 60</w:t>
      </w:r>
      <w:r>
        <w:rPr>
          <w:rFonts w:cs="Segoe UI"/>
          <w:szCs w:val="18"/>
          <w:shd w:val="clear" w:color="auto" w:fill="FFFFFF"/>
        </w:rPr>
        <w:t> </w:t>
      </w:r>
      <w:r w:rsidRPr="00507DDB">
        <w:rPr>
          <w:rFonts w:cs="Segoe UI"/>
          <w:szCs w:val="18"/>
          <w:shd w:val="clear" w:color="auto" w:fill="FFFFFF"/>
        </w:rPr>
        <w:t>246</w:t>
      </w:r>
    </w:p>
    <w:p w14:paraId="39C6E986" w14:textId="77777777" w:rsidR="00B73F22" w:rsidRPr="00290C08" w:rsidRDefault="00B73F22" w:rsidP="008F131D">
      <w:pPr>
        <w:jc w:val="both"/>
      </w:pPr>
    </w:p>
    <w:sectPr w:rsidR="00B73F22" w:rsidRPr="00290C08" w:rsidSect="0072216A">
      <w:headerReference w:type="default" r:id="rId18"/>
      <w:footerReference w:type="default" r:id="rId19"/>
      <w:pgSz w:w="11906" w:h="16838"/>
      <w:pgMar w:top="1843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8D89D" w14:textId="77777777" w:rsidR="006033B7" w:rsidRDefault="006033B7">
      <w:r>
        <w:separator/>
      </w:r>
    </w:p>
  </w:endnote>
  <w:endnote w:type="continuationSeparator" w:id="0">
    <w:p w14:paraId="53293202" w14:textId="77777777" w:rsidR="006033B7" w:rsidRDefault="0060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6B94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2917" wp14:editId="3A87103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61DEFBF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5E1BB" w14:textId="77777777" w:rsidR="006033B7" w:rsidRDefault="006033B7">
      <w:r>
        <w:separator/>
      </w:r>
    </w:p>
  </w:footnote>
  <w:footnote w:type="continuationSeparator" w:id="0">
    <w:p w14:paraId="699CD5A0" w14:textId="77777777" w:rsidR="006033B7" w:rsidRDefault="0060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11C4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90B0D5E" wp14:editId="280C9343">
          <wp:extent cx="1400175" cy="54276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568F"/>
    <w:multiLevelType w:val="hybridMultilevel"/>
    <w:tmpl w:val="A768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3D1B"/>
    <w:multiLevelType w:val="hybridMultilevel"/>
    <w:tmpl w:val="D380569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C04C5"/>
    <w:multiLevelType w:val="multilevel"/>
    <w:tmpl w:val="44D4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47C90"/>
    <w:multiLevelType w:val="hybridMultilevel"/>
    <w:tmpl w:val="0156BA0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3AA7"/>
    <w:rsid w:val="000A74FA"/>
    <w:rsid w:val="000B149D"/>
    <w:rsid w:val="000B1AC5"/>
    <w:rsid w:val="000B7247"/>
    <w:rsid w:val="000E246F"/>
    <w:rsid w:val="0010559C"/>
    <w:rsid w:val="00107844"/>
    <w:rsid w:val="00114BA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1BA9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0C08"/>
    <w:rsid w:val="00295B34"/>
    <w:rsid w:val="002A55F4"/>
    <w:rsid w:val="002A5D69"/>
    <w:rsid w:val="002B1DBF"/>
    <w:rsid w:val="002C0D5D"/>
    <w:rsid w:val="002C692D"/>
    <w:rsid w:val="002C6ABE"/>
    <w:rsid w:val="002D4AA9"/>
    <w:rsid w:val="002E388C"/>
    <w:rsid w:val="002E45D1"/>
    <w:rsid w:val="002E704C"/>
    <w:rsid w:val="002F1BF3"/>
    <w:rsid w:val="002F4D43"/>
    <w:rsid w:val="003056C6"/>
    <w:rsid w:val="00310BD9"/>
    <w:rsid w:val="00311B14"/>
    <w:rsid w:val="00324306"/>
    <w:rsid w:val="003278D6"/>
    <w:rsid w:val="003303F0"/>
    <w:rsid w:val="0034059B"/>
    <w:rsid w:val="0035019C"/>
    <w:rsid w:val="00360248"/>
    <w:rsid w:val="00366A46"/>
    <w:rsid w:val="0037624B"/>
    <w:rsid w:val="00377A0D"/>
    <w:rsid w:val="0038677D"/>
    <w:rsid w:val="003D3FF4"/>
    <w:rsid w:val="003D7161"/>
    <w:rsid w:val="003E3F9D"/>
    <w:rsid w:val="003E69E5"/>
    <w:rsid w:val="0040748E"/>
    <w:rsid w:val="00412206"/>
    <w:rsid w:val="0042053F"/>
    <w:rsid w:val="00427E08"/>
    <w:rsid w:val="00431749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454C0"/>
    <w:rsid w:val="0055631D"/>
    <w:rsid w:val="005901AB"/>
    <w:rsid w:val="00593935"/>
    <w:rsid w:val="005973FD"/>
    <w:rsid w:val="00597C68"/>
    <w:rsid w:val="005A382B"/>
    <w:rsid w:val="005A4047"/>
    <w:rsid w:val="005A7375"/>
    <w:rsid w:val="005C0D39"/>
    <w:rsid w:val="005C6232"/>
    <w:rsid w:val="005D61AD"/>
    <w:rsid w:val="005D6F7A"/>
    <w:rsid w:val="005E5B88"/>
    <w:rsid w:val="005E785C"/>
    <w:rsid w:val="005E78EE"/>
    <w:rsid w:val="005F139F"/>
    <w:rsid w:val="005F1EBD"/>
    <w:rsid w:val="006033B7"/>
    <w:rsid w:val="006063D0"/>
    <w:rsid w:val="00613C45"/>
    <w:rsid w:val="00616F6F"/>
    <w:rsid w:val="00633D4E"/>
    <w:rsid w:val="0063526F"/>
    <w:rsid w:val="00637E86"/>
    <w:rsid w:val="006422DE"/>
    <w:rsid w:val="006439FA"/>
    <w:rsid w:val="00664E89"/>
    <w:rsid w:val="0067485D"/>
    <w:rsid w:val="006A2065"/>
    <w:rsid w:val="006A3D88"/>
    <w:rsid w:val="006A47DB"/>
    <w:rsid w:val="006A4A7A"/>
    <w:rsid w:val="006B0752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16A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2614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C53D0"/>
    <w:rsid w:val="008D527A"/>
    <w:rsid w:val="008D56DA"/>
    <w:rsid w:val="008D5771"/>
    <w:rsid w:val="008F131D"/>
    <w:rsid w:val="008F472E"/>
    <w:rsid w:val="00902556"/>
    <w:rsid w:val="0090338C"/>
    <w:rsid w:val="0091048E"/>
    <w:rsid w:val="00914C42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D0A3A"/>
    <w:rsid w:val="009E3C0B"/>
    <w:rsid w:val="00A13244"/>
    <w:rsid w:val="00A13957"/>
    <w:rsid w:val="00A239AA"/>
    <w:rsid w:val="00A439E8"/>
    <w:rsid w:val="00A45753"/>
    <w:rsid w:val="00A53423"/>
    <w:rsid w:val="00A603A2"/>
    <w:rsid w:val="00A62659"/>
    <w:rsid w:val="00A65F20"/>
    <w:rsid w:val="00A71B6E"/>
    <w:rsid w:val="00A76293"/>
    <w:rsid w:val="00A77DA2"/>
    <w:rsid w:val="00A85D9D"/>
    <w:rsid w:val="00A906A0"/>
    <w:rsid w:val="00A92C4C"/>
    <w:rsid w:val="00AA602D"/>
    <w:rsid w:val="00AB572D"/>
    <w:rsid w:val="00AE2923"/>
    <w:rsid w:val="00AE7F9D"/>
    <w:rsid w:val="00AF1794"/>
    <w:rsid w:val="00B028F7"/>
    <w:rsid w:val="00B15492"/>
    <w:rsid w:val="00B22608"/>
    <w:rsid w:val="00B22863"/>
    <w:rsid w:val="00B41502"/>
    <w:rsid w:val="00B51024"/>
    <w:rsid w:val="00B512B5"/>
    <w:rsid w:val="00B60CD8"/>
    <w:rsid w:val="00B60F9C"/>
    <w:rsid w:val="00B66CB3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171E5"/>
    <w:rsid w:val="00C21071"/>
    <w:rsid w:val="00C2398C"/>
    <w:rsid w:val="00C25569"/>
    <w:rsid w:val="00C27366"/>
    <w:rsid w:val="00C419CE"/>
    <w:rsid w:val="00C63AA8"/>
    <w:rsid w:val="00C7783C"/>
    <w:rsid w:val="00C81210"/>
    <w:rsid w:val="00C84454"/>
    <w:rsid w:val="00CA6B58"/>
    <w:rsid w:val="00CB1AE6"/>
    <w:rsid w:val="00CB3ED4"/>
    <w:rsid w:val="00CB3F86"/>
    <w:rsid w:val="00CD34F0"/>
    <w:rsid w:val="00CE0954"/>
    <w:rsid w:val="00CF11F7"/>
    <w:rsid w:val="00D06A50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92F52"/>
    <w:rsid w:val="00DA753F"/>
    <w:rsid w:val="00DA7E6D"/>
    <w:rsid w:val="00DC182C"/>
    <w:rsid w:val="00DC5754"/>
    <w:rsid w:val="00DD34A3"/>
    <w:rsid w:val="00DD3C00"/>
    <w:rsid w:val="00DD6056"/>
    <w:rsid w:val="00DE274F"/>
    <w:rsid w:val="00DE7C6A"/>
    <w:rsid w:val="00DF2857"/>
    <w:rsid w:val="00DF782B"/>
    <w:rsid w:val="00E03AEF"/>
    <w:rsid w:val="00E102DE"/>
    <w:rsid w:val="00E24825"/>
    <w:rsid w:val="00E42093"/>
    <w:rsid w:val="00E522AD"/>
    <w:rsid w:val="00E55F9F"/>
    <w:rsid w:val="00E64103"/>
    <w:rsid w:val="00E76CD1"/>
    <w:rsid w:val="00EE4AD8"/>
    <w:rsid w:val="00F139AC"/>
    <w:rsid w:val="00F21EAC"/>
    <w:rsid w:val="00F3243D"/>
    <w:rsid w:val="00F46D0D"/>
    <w:rsid w:val="00F613B1"/>
    <w:rsid w:val="00F779DF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94173E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B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A4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4BA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kik.gov.pl/download.php?plik=26172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uokik.gov.pl/download.php?plik=26171" TargetMode="External"/><Relationship Id="rId17" Type="http://schemas.openxmlformats.org/officeDocument/2006/relationships/hyperlink" Target="https://uokik.gov.pl/pomoc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rady@dlakonsumentow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okik.gov.pl/download.php?plik=2617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okik.gov.pl/download.php?plik=26173" TargetMode="External"/><Relationship Id="rId10" Type="http://schemas.openxmlformats.org/officeDocument/2006/relationships/hyperlink" Target="https://www.uokik.gov.pl/download.php?plik=26169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uokik.gov.pl/download.php?plik=26168" TargetMode="External"/><Relationship Id="rId14" Type="http://schemas.openxmlformats.org/officeDocument/2006/relationships/hyperlink" Target="https://www.uokik.gov.pl/download.php?plik=2617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42CB-BB9E-4C3F-9766-5F50B7BE61E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40EAC0-9DC5-41CA-8965-5831ADDC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2019-03-06T14:11:00Z</cp:lastPrinted>
  <dcterms:created xsi:type="dcterms:W3CDTF">2022-02-03T16:14:00Z</dcterms:created>
  <dcterms:modified xsi:type="dcterms:W3CDTF">2022-02-04T07:53:00Z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c1dec7b4-6f6b-4a78-8e05-9c10ecd2f265</vt:lpwstr>
  </property>
  <property fmtid="{D5CDD505-2E9C-101B-9397-08002B2CF9AE}" pid="3" name="bjSaver">
    <vt:lpwstr>VsqwKmlaObJv4fXA7MEEX9wyTn8X8VXM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