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F69EC" w14:textId="77777777" w:rsidR="00D47CCF" w:rsidRPr="0024118E" w:rsidRDefault="00AC46D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UBEZPIECZENIE Z UFK W METLIFE – DECYZJA PREZESA UOKIK</w:t>
      </w:r>
    </w:p>
    <w:p w14:paraId="049F7CDF" w14:textId="69CC7BE8" w:rsidR="00932B95" w:rsidRDefault="001937A6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Sposób pobierania </w:t>
      </w:r>
      <w:r w:rsidR="00932B95">
        <w:rPr>
          <w:rFonts w:cs="Tahoma"/>
          <w:b/>
          <w:bCs/>
          <w:color w:val="000000" w:themeColor="text1"/>
          <w:sz w:val="22"/>
          <w:lang w:eastAsia="en-GB"/>
        </w:rPr>
        <w:t>opłat alokacyjn</w:t>
      </w:r>
      <w:r w:rsidR="00A72187">
        <w:rPr>
          <w:rFonts w:cs="Tahoma"/>
          <w:b/>
          <w:bCs/>
          <w:color w:val="000000" w:themeColor="text1"/>
          <w:sz w:val="22"/>
          <w:lang w:eastAsia="en-GB"/>
        </w:rPr>
        <w:t>y</w:t>
      </w:r>
      <w:r>
        <w:rPr>
          <w:rFonts w:cs="Tahoma"/>
          <w:b/>
          <w:bCs/>
          <w:color w:val="000000" w:themeColor="text1"/>
          <w:sz w:val="22"/>
          <w:lang w:eastAsia="en-GB"/>
        </w:rPr>
        <w:t>ch</w:t>
      </w:r>
      <w:r w:rsidR="00932B95">
        <w:rPr>
          <w:rFonts w:cs="Tahoma"/>
          <w:b/>
          <w:bCs/>
          <w:color w:val="000000" w:themeColor="text1"/>
          <w:sz w:val="22"/>
          <w:lang w:eastAsia="en-GB"/>
        </w:rPr>
        <w:t xml:space="preserve"> przez spółkę MetLife w dwóch pierwszych latach umów ubezpieczenia na życie z ufk był niezgodn</w:t>
      </w:r>
      <w:r w:rsidR="00A72187">
        <w:rPr>
          <w:rFonts w:cs="Tahoma"/>
          <w:b/>
          <w:bCs/>
          <w:color w:val="000000" w:themeColor="text1"/>
          <w:sz w:val="22"/>
          <w:lang w:eastAsia="en-GB"/>
        </w:rPr>
        <w:t>y</w:t>
      </w:r>
      <w:r w:rsidR="00932B95">
        <w:rPr>
          <w:rFonts w:cs="Tahoma"/>
          <w:b/>
          <w:bCs/>
          <w:color w:val="000000" w:themeColor="text1"/>
          <w:sz w:val="22"/>
          <w:lang w:eastAsia="en-GB"/>
        </w:rPr>
        <w:t xml:space="preserve"> z prawem.</w:t>
      </w:r>
    </w:p>
    <w:p w14:paraId="75862D55" w14:textId="247E9A2A" w:rsidR="00932B95" w:rsidRDefault="00BE2943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Miał on zniechęcić konsumentów do wypowiadania umów w pierwszych latach od </w:t>
      </w:r>
      <w:r w:rsidR="005165E5">
        <w:rPr>
          <w:rFonts w:cs="Tahoma"/>
          <w:b/>
          <w:bCs/>
          <w:color w:val="000000" w:themeColor="text1"/>
          <w:sz w:val="22"/>
          <w:lang w:eastAsia="en-GB"/>
        </w:rPr>
        <w:t xml:space="preserve">ich </w:t>
      </w:r>
      <w:r>
        <w:rPr>
          <w:rFonts w:cs="Tahoma"/>
          <w:b/>
          <w:bCs/>
          <w:color w:val="000000" w:themeColor="text1"/>
          <w:sz w:val="22"/>
          <w:lang w:eastAsia="en-GB"/>
        </w:rPr>
        <w:t>zawarcia.</w:t>
      </w:r>
    </w:p>
    <w:p w14:paraId="37860A2B" w14:textId="77777777" w:rsidR="00C2398C" w:rsidRPr="005428E6" w:rsidRDefault="00932B95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nałożył na MetLife ponad 5,2 mln zł kary za stosowanie niedozwolonych </w:t>
      </w:r>
      <w:r w:rsidR="00784E76">
        <w:rPr>
          <w:rFonts w:cs="Tahoma"/>
          <w:b/>
          <w:bCs/>
          <w:color w:val="000000" w:themeColor="text1"/>
          <w:sz w:val="22"/>
          <w:lang w:eastAsia="en-GB"/>
        </w:rPr>
        <w:t>postanowień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umow</w:t>
      </w:r>
      <w:r w:rsidR="00784E76">
        <w:rPr>
          <w:rFonts w:cs="Tahoma"/>
          <w:b/>
          <w:bCs/>
          <w:color w:val="000000" w:themeColor="text1"/>
          <w:sz w:val="22"/>
          <w:lang w:eastAsia="en-GB"/>
        </w:rPr>
        <w:t>nych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C40E9DD" w14:textId="0E33A9AA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5165E5">
        <w:rPr>
          <w:b/>
          <w:sz w:val="22"/>
        </w:rPr>
        <w:t>3</w:t>
      </w:r>
      <w:r w:rsidR="00B62DE7">
        <w:rPr>
          <w:b/>
          <w:sz w:val="22"/>
        </w:rPr>
        <w:t xml:space="preserve"> </w:t>
      </w:r>
      <w:r w:rsidR="00932B95">
        <w:rPr>
          <w:b/>
          <w:sz w:val="22"/>
        </w:rPr>
        <w:t>lutego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C861AF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9B026A">
        <w:rPr>
          <w:sz w:val="22"/>
        </w:rPr>
        <w:t xml:space="preserve">MetLife Towarzystwo Ubezpieczeń na Życie i Reasekuracji oferowało w latach 2016-2017 indywidualne ubezpieczenie na życie z ubezpieczeniowymi funduszami kapitałowymi (ufk) o nazwie MetLife Projekt Jutro. </w:t>
      </w:r>
      <w:r w:rsidR="009B026A" w:rsidRPr="00CD3831">
        <w:rPr>
          <w:sz w:val="22"/>
        </w:rPr>
        <w:t>Wątpliwości Prezesa UOKiK wzbudziły postanowienia umowne</w:t>
      </w:r>
      <w:r w:rsidR="009B026A">
        <w:rPr>
          <w:sz w:val="22"/>
        </w:rPr>
        <w:t xml:space="preserve"> </w:t>
      </w:r>
      <w:r w:rsidR="001937A6">
        <w:rPr>
          <w:sz w:val="22"/>
        </w:rPr>
        <w:t xml:space="preserve">określające </w:t>
      </w:r>
      <w:r w:rsidR="009B026A">
        <w:rPr>
          <w:sz w:val="22"/>
        </w:rPr>
        <w:t xml:space="preserve">tzw. opłaty alokacyjne. </w:t>
      </w:r>
      <w:r w:rsidR="00871FD0">
        <w:rPr>
          <w:sz w:val="22"/>
        </w:rPr>
        <w:t xml:space="preserve">Na ich mocy w pierwszym roku obowiązywania umowy spółka potrącała sobie 75 proc. składki inwestowanej, a </w:t>
      </w:r>
      <w:r w:rsidR="00481DEC">
        <w:rPr>
          <w:sz w:val="22"/>
        </w:rPr>
        <w:t xml:space="preserve">w </w:t>
      </w:r>
      <w:r w:rsidR="00871FD0">
        <w:rPr>
          <w:sz w:val="22"/>
        </w:rPr>
        <w:t>drugim roku – 45 proc.</w:t>
      </w:r>
      <w:r w:rsidR="009B026A">
        <w:rPr>
          <w:sz w:val="22"/>
        </w:rPr>
        <w:t xml:space="preserve"> </w:t>
      </w:r>
      <w:r w:rsidR="00871FD0">
        <w:rPr>
          <w:sz w:val="22"/>
        </w:rPr>
        <w:t>Konsument stopniowo odzyskiwał te pieniądze w kolejnych latach w postaci tzw. premii inwestycyjnej, przy czym pełny zwrot następował dopiero około 14. roku trwania umowy.</w:t>
      </w:r>
      <w:r w:rsidR="00481DEC">
        <w:rPr>
          <w:sz w:val="22"/>
        </w:rPr>
        <w:t xml:space="preserve"> Niezależnie od tego spółka pobierała kilka innych opłat, np. administracyjną, za ubezpieczenie na życie.</w:t>
      </w:r>
    </w:p>
    <w:p w14:paraId="51589FBF" w14:textId="064F9E72" w:rsidR="00E4145B" w:rsidRDefault="00E4145B" w:rsidP="00E4145B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871FD0">
        <w:rPr>
          <w:i/>
          <w:sz w:val="22"/>
        </w:rPr>
        <w:t xml:space="preserve">Zakwestionowane klauzule miały na celu uczynić nieopłacalnym </w:t>
      </w:r>
      <w:r w:rsidR="009F1307">
        <w:rPr>
          <w:i/>
          <w:sz w:val="22"/>
        </w:rPr>
        <w:t>dla konsumenta odstąpienie od umowy</w:t>
      </w:r>
      <w:r w:rsidR="00481DEC">
        <w:rPr>
          <w:i/>
          <w:sz w:val="22"/>
        </w:rPr>
        <w:t xml:space="preserve"> o ubezpieczenie na życie z ufk</w:t>
      </w:r>
      <w:r w:rsidR="009F1307">
        <w:rPr>
          <w:i/>
          <w:sz w:val="22"/>
        </w:rPr>
        <w:t>. Tymczasem zgodnie z prawem konsument ma prawo w każdej chwili</w:t>
      </w:r>
      <w:r w:rsidR="00CD3831">
        <w:rPr>
          <w:i/>
          <w:sz w:val="22"/>
        </w:rPr>
        <w:t>,</w:t>
      </w:r>
      <w:r w:rsidR="009F1307">
        <w:rPr>
          <w:i/>
          <w:sz w:val="22"/>
        </w:rPr>
        <w:t xml:space="preserve"> z zachowaniem okresu wypowiedzenia</w:t>
      </w:r>
      <w:r w:rsidR="00CD3831">
        <w:rPr>
          <w:i/>
          <w:sz w:val="22"/>
        </w:rPr>
        <w:t>,</w:t>
      </w:r>
      <w:r w:rsidR="009F1307">
        <w:rPr>
          <w:i/>
          <w:sz w:val="22"/>
        </w:rPr>
        <w:t xml:space="preserve"> rozwiązać taki kont</w:t>
      </w:r>
      <w:r w:rsidR="00A2432D">
        <w:rPr>
          <w:i/>
          <w:sz w:val="22"/>
        </w:rPr>
        <w:t>r</w:t>
      </w:r>
      <w:r w:rsidR="009F1307">
        <w:rPr>
          <w:i/>
          <w:sz w:val="22"/>
        </w:rPr>
        <w:t>akt bez żadnych dodatkowych warunków. Może np. po roku lub dwóch stwierdzić, że wyniki osiągane przez fundusze nie gwarantują osiągnięcia zysku lub wręcz wskazują na możliwość poniesienia straty. W takiej sytuacji konsument powinien móc rozwiązać umowę bez ponoszenia nadmiernych kosztów</w:t>
      </w:r>
      <w:r w:rsidRPr="00117785">
        <w:rPr>
          <w:i/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14:paraId="4FF541C5" w14:textId="3F1AB069" w:rsidR="005B59C7" w:rsidRDefault="00447C29" w:rsidP="00447C2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Kilka lat temu głośno było o tzw. opłatach likwidacyjnych pobieranych przez ubezpieczycieli, gdy konsumenci chcieli rozwiązać polisy z ufk przed terminem. </w:t>
      </w:r>
      <w:r w:rsidR="002D62AD">
        <w:rPr>
          <w:sz w:val="22"/>
        </w:rPr>
        <w:t>W</w:t>
      </w:r>
      <w:r w:rsidR="002D62AD" w:rsidRPr="002D62AD">
        <w:rPr>
          <w:sz w:val="22"/>
        </w:rPr>
        <w:t xml:space="preserve"> niek</w:t>
      </w:r>
      <w:r w:rsidR="002D62AD">
        <w:rPr>
          <w:sz w:val="22"/>
        </w:rPr>
        <w:t>tórych przypadkach</w:t>
      </w:r>
      <w:r w:rsidR="002D62AD" w:rsidRPr="002D62AD">
        <w:rPr>
          <w:sz w:val="22"/>
        </w:rPr>
        <w:t xml:space="preserve"> </w:t>
      </w:r>
      <w:r w:rsidR="002D62AD">
        <w:rPr>
          <w:sz w:val="22"/>
        </w:rPr>
        <w:t xml:space="preserve">oznaczało to </w:t>
      </w:r>
      <w:r w:rsidR="002D62AD" w:rsidRPr="002D62AD">
        <w:rPr>
          <w:sz w:val="22"/>
        </w:rPr>
        <w:t>utratę wszystkich oszczędności klient</w:t>
      </w:r>
      <w:r w:rsidR="002D62AD">
        <w:rPr>
          <w:sz w:val="22"/>
        </w:rPr>
        <w:t>ów</w:t>
      </w:r>
      <w:r w:rsidR="002D62AD" w:rsidRPr="002D62AD">
        <w:rPr>
          <w:sz w:val="22"/>
        </w:rPr>
        <w:t xml:space="preserve">. </w:t>
      </w:r>
      <w:r>
        <w:rPr>
          <w:sz w:val="22"/>
        </w:rPr>
        <w:t xml:space="preserve">Takie postanowienia w umowach były uznawane za </w:t>
      </w:r>
      <w:r w:rsidR="00960E2A">
        <w:rPr>
          <w:sz w:val="22"/>
        </w:rPr>
        <w:t>abuzyw</w:t>
      </w:r>
      <w:r>
        <w:rPr>
          <w:sz w:val="22"/>
        </w:rPr>
        <w:t>ne i wpi</w:t>
      </w:r>
      <w:r w:rsidR="00960E2A">
        <w:rPr>
          <w:sz w:val="22"/>
        </w:rPr>
        <w:t xml:space="preserve">sywane do </w:t>
      </w:r>
      <w:hyperlink r:id="rId8" w:anchor="advancedResults" w:history="1">
        <w:r w:rsidR="00960E2A" w:rsidRPr="00960E2A">
          <w:rPr>
            <w:rStyle w:val="Hipercze"/>
            <w:sz w:val="22"/>
          </w:rPr>
          <w:t>rejestru klauzul niedozwolonych</w:t>
        </w:r>
      </w:hyperlink>
      <w:r w:rsidR="00960E2A">
        <w:rPr>
          <w:sz w:val="22"/>
        </w:rPr>
        <w:t xml:space="preserve"> (</w:t>
      </w:r>
      <w:r>
        <w:rPr>
          <w:sz w:val="22"/>
        </w:rPr>
        <w:t xml:space="preserve">np. </w:t>
      </w:r>
      <w:r w:rsidR="00960E2A">
        <w:rPr>
          <w:sz w:val="22"/>
        </w:rPr>
        <w:t xml:space="preserve">pod </w:t>
      </w:r>
      <w:r w:rsidR="00960E2A" w:rsidRPr="00960E2A">
        <w:rPr>
          <w:sz w:val="22"/>
        </w:rPr>
        <w:t>n</w:t>
      </w:r>
      <w:r w:rsidR="00960E2A">
        <w:rPr>
          <w:sz w:val="22"/>
        </w:rPr>
        <w:t>ume</w:t>
      </w:r>
      <w:r w:rsidR="00960E2A" w:rsidRPr="00960E2A">
        <w:rPr>
          <w:sz w:val="22"/>
        </w:rPr>
        <w:t>r</w:t>
      </w:r>
      <w:r w:rsidR="00E13A12">
        <w:rPr>
          <w:sz w:val="22"/>
        </w:rPr>
        <w:t>ami</w:t>
      </w:r>
      <w:r w:rsidR="00960E2A" w:rsidRPr="00960E2A">
        <w:rPr>
          <w:sz w:val="22"/>
        </w:rPr>
        <w:t xml:space="preserve"> 2161, 3834, 4632, 4633, 5608</w:t>
      </w:r>
      <w:r w:rsidR="00960E2A">
        <w:rPr>
          <w:sz w:val="22"/>
        </w:rPr>
        <w:t>)</w:t>
      </w:r>
      <w:r w:rsidR="00953780">
        <w:rPr>
          <w:sz w:val="22"/>
        </w:rPr>
        <w:t xml:space="preserve">. </w:t>
      </w:r>
      <w:r w:rsidR="002D62AD">
        <w:rPr>
          <w:sz w:val="22"/>
        </w:rPr>
        <w:t>Prezes UOKiK zobowiązał</w:t>
      </w:r>
      <w:r w:rsidR="00E13A12">
        <w:rPr>
          <w:sz w:val="22"/>
        </w:rPr>
        <w:t xml:space="preserve"> wówczas</w:t>
      </w:r>
      <w:r w:rsidR="002D62AD">
        <w:rPr>
          <w:sz w:val="22"/>
        </w:rPr>
        <w:t xml:space="preserve"> </w:t>
      </w:r>
      <w:r w:rsidR="00E13A12">
        <w:rPr>
          <w:sz w:val="22"/>
        </w:rPr>
        <w:t xml:space="preserve">zakłady </w:t>
      </w:r>
      <w:r w:rsidR="002D62AD">
        <w:rPr>
          <w:sz w:val="22"/>
        </w:rPr>
        <w:t>ubezpiecze</w:t>
      </w:r>
      <w:r w:rsidR="00E13A12">
        <w:rPr>
          <w:sz w:val="22"/>
        </w:rPr>
        <w:t>ń</w:t>
      </w:r>
      <w:r w:rsidR="002D62AD">
        <w:rPr>
          <w:sz w:val="22"/>
        </w:rPr>
        <w:t xml:space="preserve">, w </w:t>
      </w:r>
      <w:r w:rsidR="002D62AD">
        <w:rPr>
          <w:sz w:val="22"/>
        </w:rPr>
        <w:lastRenderedPageBreak/>
        <w:t xml:space="preserve">tym </w:t>
      </w:r>
      <w:hyperlink r:id="rId9" w:history="1">
        <w:r w:rsidR="002D62AD" w:rsidRPr="002D62AD">
          <w:rPr>
            <w:rStyle w:val="Hipercze"/>
            <w:sz w:val="22"/>
          </w:rPr>
          <w:t>Metlife</w:t>
        </w:r>
      </w:hyperlink>
      <w:r w:rsidR="002D62AD">
        <w:rPr>
          <w:sz w:val="22"/>
        </w:rPr>
        <w:t xml:space="preserve">, do znaczącego obniżenia opłat likwidacyjnych, argumentując, że nie mogą </w:t>
      </w:r>
      <w:r w:rsidR="002D62AD" w:rsidRPr="002D62AD">
        <w:rPr>
          <w:sz w:val="22"/>
        </w:rPr>
        <w:t>przerzuca</w:t>
      </w:r>
      <w:r w:rsidR="00481DEC">
        <w:rPr>
          <w:sz w:val="22"/>
        </w:rPr>
        <w:t>ć</w:t>
      </w:r>
      <w:r w:rsidR="002D62AD" w:rsidRPr="002D62AD">
        <w:rPr>
          <w:sz w:val="22"/>
        </w:rPr>
        <w:t xml:space="preserve"> na konsumentów koszt</w:t>
      </w:r>
      <w:r w:rsidR="00481DEC">
        <w:rPr>
          <w:sz w:val="22"/>
        </w:rPr>
        <w:t>ów</w:t>
      </w:r>
      <w:r w:rsidR="002D62AD" w:rsidRPr="002D62AD">
        <w:rPr>
          <w:sz w:val="22"/>
        </w:rPr>
        <w:t>, które powinny być zaliczane do ryzyka prowadzenia działalności gospodarczej.</w:t>
      </w:r>
      <w:r w:rsidR="002D62AD">
        <w:rPr>
          <w:sz w:val="22"/>
        </w:rPr>
        <w:t xml:space="preserve"> </w:t>
      </w:r>
    </w:p>
    <w:p w14:paraId="0EE9052D" w14:textId="4BD85646" w:rsidR="005B59C7" w:rsidRDefault="00A30960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CC59AF">
        <w:rPr>
          <w:i/>
          <w:sz w:val="22"/>
        </w:rPr>
        <w:t xml:space="preserve">Opłaty alokacyjne stosowane przez MetLife miały ten sam cel, co opłaty likwidacyjne. Spółka </w:t>
      </w:r>
      <w:r w:rsidR="007718EE">
        <w:rPr>
          <w:i/>
          <w:sz w:val="22"/>
        </w:rPr>
        <w:t>pobierając je w ciągu pierwszych dwóch lat umowy</w:t>
      </w:r>
      <w:r w:rsidR="00AB7047">
        <w:rPr>
          <w:i/>
          <w:sz w:val="22"/>
        </w:rPr>
        <w:t>,</w:t>
      </w:r>
      <w:r w:rsidR="007718EE">
        <w:rPr>
          <w:i/>
          <w:sz w:val="22"/>
        </w:rPr>
        <w:t xml:space="preserve"> de facto zniechęca</w:t>
      </w:r>
      <w:r w:rsidR="00CD3831">
        <w:rPr>
          <w:i/>
          <w:sz w:val="22"/>
        </w:rPr>
        <w:t>jąc</w:t>
      </w:r>
      <w:r w:rsidR="007718EE">
        <w:rPr>
          <w:i/>
          <w:sz w:val="22"/>
        </w:rPr>
        <w:t xml:space="preserve"> konsumentów do jej wypowiedzenia w tym terminie</w:t>
      </w:r>
      <w:r w:rsidRPr="00CC59AF">
        <w:rPr>
          <w:i/>
          <w:sz w:val="22"/>
        </w:rPr>
        <w:t>, co jest niedopuszczalne. Dlatego uznałem klauzulę wprowadzającą te opłaty za abuzywną i nałożyłem n</w:t>
      </w:r>
      <w:bookmarkStart w:id="0" w:name="_GoBack"/>
      <w:bookmarkEnd w:id="0"/>
      <w:r w:rsidRPr="00CC59AF">
        <w:rPr>
          <w:i/>
          <w:sz w:val="22"/>
        </w:rPr>
        <w:t>a spółkę ponad 5 mln zł kary</w:t>
      </w:r>
      <w:r w:rsidR="00CC59AF">
        <w:rPr>
          <w:sz w:val="22"/>
        </w:rPr>
        <w:t xml:space="preserve"> - mówi Tomasz Chróstny, Prezes UOKiK.</w:t>
      </w:r>
    </w:p>
    <w:p w14:paraId="1C784453" w14:textId="77777777" w:rsidR="00CC59AF" w:rsidRDefault="00CC59AF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Kara dla Metlife to 5 231 684 zł. Oprócz tego spółka musi poinformować konsumentów o decyzji Prezesa UOKiK i jej skutkach, czyli o tym, że zakwestionowane klauzule należy traktować</w:t>
      </w:r>
      <w:r w:rsidR="00481DEC">
        <w:rPr>
          <w:sz w:val="22"/>
        </w:rPr>
        <w:t xml:space="preserve"> tak</w:t>
      </w:r>
      <w:r>
        <w:rPr>
          <w:sz w:val="22"/>
        </w:rPr>
        <w:t xml:space="preserve">, jakby ich nie było w umowie. </w:t>
      </w:r>
      <w:r w:rsidR="00481DEC">
        <w:rPr>
          <w:sz w:val="22"/>
        </w:rPr>
        <w:t>Po uprawomocnieniu się decyzji poszkodowani będą się mogli na nią powoływać w sądzie przy dochodzeniu roszczeń.</w:t>
      </w:r>
    </w:p>
    <w:p w14:paraId="4CE1E7BD" w14:textId="77777777" w:rsidR="00E4145B" w:rsidRDefault="00CC59AF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Decyzja jest nieprawomocna, spółce przysługuje odwołanie do sądu.</w:t>
      </w:r>
    </w:p>
    <w:p w14:paraId="1184115C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129AA5C8" w14:textId="77777777" w:rsidR="004C0F7C" w:rsidRP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4C0F7C">
        <w:rPr>
          <w:szCs w:val="18"/>
        </w:rPr>
        <w:br/>
      </w:r>
      <w:hyperlink r:id="rId12" w:history="1">
        <w:r w:rsidR="004C0F7C" w:rsidRPr="00C861AF">
          <w:rPr>
            <w:rStyle w:val="Hipercze"/>
            <w:szCs w:val="18"/>
          </w:rPr>
          <w:t>Rzecznik Finansowy</w:t>
        </w:r>
      </w:hyperlink>
      <w:r w:rsidR="00C861AF">
        <w:rPr>
          <w:szCs w:val="18"/>
        </w:rPr>
        <w:t xml:space="preserve"> </w:t>
      </w:r>
      <w:r w:rsidR="004C0F7C" w:rsidRPr="00C861AF">
        <w:rPr>
          <w:szCs w:val="18"/>
        </w:rPr>
        <w:t>– po odrzuceniu reklamacji przez instytucję finansową</w:t>
      </w:r>
    </w:p>
    <w:sectPr w:rsidR="004C0F7C" w:rsidRPr="00E74B86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9770" w14:textId="77777777" w:rsidR="006B58B0" w:rsidRDefault="006B58B0">
      <w:r>
        <w:separator/>
      </w:r>
    </w:p>
  </w:endnote>
  <w:endnote w:type="continuationSeparator" w:id="0">
    <w:p w14:paraId="45D79910" w14:textId="77777777" w:rsidR="006B58B0" w:rsidRDefault="006B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1E5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8C946" wp14:editId="3B1E556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6200066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F5E3" w14:textId="77777777" w:rsidR="006B58B0" w:rsidRDefault="006B58B0">
      <w:r>
        <w:separator/>
      </w:r>
    </w:p>
  </w:footnote>
  <w:footnote w:type="continuationSeparator" w:id="0">
    <w:p w14:paraId="2CB78E44" w14:textId="77777777" w:rsidR="006B58B0" w:rsidRDefault="006B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568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A3A644F" wp14:editId="3D26F81A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A92"/>
    <w:rsid w:val="00042F96"/>
    <w:rsid w:val="000651E9"/>
    <w:rsid w:val="00073AA7"/>
    <w:rsid w:val="00084553"/>
    <w:rsid w:val="000A74FA"/>
    <w:rsid w:val="000B149D"/>
    <w:rsid w:val="000B1AC5"/>
    <w:rsid w:val="000B7247"/>
    <w:rsid w:val="0010559C"/>
    <w:rsid w:val="00107844"/>
    <w:rsid w:val="00117785"/>
    <w:rsid w:val="00120FBD"/>
    <w:rsid w:val="0012424D"/>
    <w:rsid w:val="00130571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37A6"/>
    <w:rsid w:val="001979B5"/>
    <w:rsid w:val="001A5F7C"/>
    <w:rsid w:val="001A6E5B"/>
    <w:rsid w:val="001A7451"/>
    <w:rsid w:val="001C1FAD"/>
    <w:rsid w:val="001E188E"/>
    <w:rsid w:val="001E3B53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D62AD"/>
    <w:rsid w:val="002E388C"/>
    <w:rsid w:val="002F1BF3"/>
    <w:rsid w:val="002F4D43"/>
    <w:rsid w:val="00301B8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0EEB"/>
    <w:rsid w:val="0038677D"/>
    <w:rsid w:val="003D3FF4"/>
    <w:rsid w:val="003D7161"/>
    <w:rsid w:val="003E3F9D"/>
    <w:rsid w:val="003E69E5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47C29"/>
    <w:rsid w:val="00462CFA"/>
    <w:rsid w:val="004812E1"/>
    <w:rsid w:val="00481DEC"/>
    <w:rsid w:val="00486DB1"/>
    <w:rsid w:val="00493E10"/>
    <w:rsid w:val="0049423D"/>
    <w:rsid w:val="004972E8"/>
    <w:rsid w:val="004C0F7C"/>
    <w:rsid w:val="004C0F9E"/>
    <w:rsid w:val="004C1243"/>
    <w:rsid w:val="004C5C26"/>
    <w:rsid w:val="004F7E99"/>
    <w:rsid w:val="005003F9"/>
    <w:rsid w:val="0050417B"/>
    <w:rsid w:val="005133CE"/>
    <w:rsid w:val="005165E5"/>
    <w:rsid w:val="005203F5"/>
    <w:rsid w:val="00520B00"/>
    <w:rsid w:val="00521BA3"/>
    <w:rsid w:val="00523E0D"/>
    <w:rsid w:val="00525588"/>
    <w:rsid w:val="0052710E"/>
    <w:rsid w:val="005428E6"/>
    <w:rsid w:val="005442FC"/>
    <w:rsid w:val="0055631D"/>
    <w:rsid w:val="00593935"/>
    <w:rsid w:val="005973FD"/>
    <w:rsid w:val="00597C68"/>
    <w:rsid w:val="005A382B"/>
    <w:rsid w:val="005A4047"/>
    <w:rsid w:val="005B59C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95096"/>
    <w:rsid w:val="006A2065"/>
    <w:rsid w:val="006A3D88"/>
    <w:rsid w:val="006A4A7A"/>
    <w:rsid w:val="006B0848"/>
    <w:rsid w:val="006B58B0"/>
    <w:rsid w:val="006B733D"/>
    <w:rsid w:val="006C34AE"/>
    <w:rsid w:val="006C67AF"/>
    <w:rsid w:val="006D3DC5"/>
    <w:rsid w:val="006F143B"/>
    <w:rsid w:val="007039EC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18EE"/>
    <w:rsid w:val="00776C4F"/>
    <w:rsid w:val="007838E4"/>
    <w:rsid w:val="007846DC"/>
    <w:rsid w:val="00784E76"/>
    <w:rsid w:val="007943DF"/>
    <w:rsid w:val="007A19D8"/>
    <w:rsid w:val="007C2188"/>
    <w:rsid w:val="007E36E4"/>
    <w:rsid w:val="007F0ACE"/>
    <w:rsid w:val="00800F0E"/>
    <w:rsid w:val="00804024"/>
    <w:rsid w:val="0081753E"/>
    <w:rsid w:val="0085010E"/>
    <w:rsid w:val="0085454F"/>
    <w:rsid w:val="00871FD0"/>
    <w:rsid w:val="0087354F"/>
    <w:rsid w:val="00896985"/>
    <w:rsid w:val="008976EE"/>
    <w:rsid w:val="008C53D0"/>
    <w:rsid w:val="008D527A"/>
    <w:rsid w:val="008D56DA"/>
    <w:rsid w:val="008D5771"/>
    <w:rsid w:val="008E2556"/>
    <w:rsid w:val="008E2C74"/>
    <w:rsid w:val="008F472E"/>
    <w:rsid w:val="009007DC"/>
    <w:rsid w:val="00902556"/>
    <w:rsid w:val="0090338C"/>
    <w:rsid w:val="0091048E"/>
    <w:rsid w:val="00924ABC"/>
    <w:rsid w:val="00931D1B"/>
    <w:rsid w:val="00932B95"/>
    <w:rsid w:val="00940E8F"/>
    <w:rsid w:val="0095309C"/>
    <w:rsid w:val="00953780"/>
    <w:rsid w:val="00960E2A"/>
    <w:rsid w:val="009652F2"/>
    <w:rsid w:val="009719ED"/>
    <w:rsid w:val="00986C37"/>
    <w:rsid w:val="00997528"/>
    <w:rsid w:val="0099796A"/>
    <w:rsid w:val="009B026A"/>
    <w:rsid w:val="009C1346"/>
    <w:rsid w:val="009D05C8"/>
    <w:rsid w:val="009E3C0B"/>
    <w:rsid w:val="009F1307"/>
    <w:rsid w:val="00A13244"/>
    <w:rsid w:val="00A16CBA"/>
    <w:rsid w:val="00A239AA"/>
    <w:rsid w:val="00A2432D"/>
    <w:rsid w:val="00A30960"/>
    <w:rsid w:val="00A439E8"/>
    <w:rsid w:val="00A45753"/>
    <w:rsid w:val="00A53423"/>
    <w:rsid w:val="00A62659"/>
    <w:rsid w:val="00A65F20"/>
    <w:rsid w:val="00A67F26"/>
    <w:rsid w:val="00A72187"/>
    <w:rsid w:val="00A76293"/>
    <w:rsid w:val="00A77DA2"/>
    <w:rsid w:val="00A85D9D"/>
    <w:rsid w:val="00A92C4C"/>
    <w:rsid w:val="00AA602D"/>
    <w:rsid w:val="00AB572D"/>
    <w:rsid w:val="00AB7047"/>
    <w:rsid w:val="00AC46D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2DE7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4447"/>
    <w:rsid w:val="00BE2623"/>
    <w:rsid w:val="00BE294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6796"/>
    <w:rsid w:val="00C63AA8"/>
    <w:rsid w:val="00C7783C"/>
    <w:rsid w:val="00C81210"/>
    <w:rsid w:val="00C861AF"/>
    <w:rsid w:val="00CA6B58"/>
    <w:rsid w:val="00CB1AE6"/>
    <w:rsid w:val="00CB3ED4"/>
    <w:rsid w:val="00CB3F86"/>
    <w:rsid w:val="00CC59AF"/>
    <w:rsid w:val="00CD34F0"/>
    <w:rsid w:val="00CD3831"/>
    <w:rsid w:val="00CE0954"/>
    <w:rsid w:val="00CE586B"/>
    <w:rsid w:val="00CF11F7"/>
    <w:rsid w:val="00CF34D9"/>
    <w:rsid w:val="00D1323F"/>
    <w:rsid w:val="00D202BA"/>
    <w:rsid w:val="00D251AC"/>
    <w:rsid w:val="00D41224"/>
    <w:rsid w:val="00D43766"/>
    <w:rsid w:val="00D471D6"/>
    <w:rsid w:val="00D47CCF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13A12"/>
    <w:rsid w:val="00E173F9"/>
    <w:rsid w:val="00E24825"/>
    <w:rsid w:val="00E4145B"/>
    <w:rsid w:val="00E42093"/>
    <w:rsid w:val="00E522AD"/>
    <w:rsid w:val="00E551A2"/>
    <w:rsid w:val="00E64103"/>
    <w:rsid w:val="00E74B86"/>
    <w:rsid w:val="00E76CD1"/>
    <w:rsid w:val="00E91F73"/>
    <w:rsid w:val="00EC75C9"/>
    <w:rsid w:val="00EE4AD8"/>
    <w:rsid w:val="00F139AC"/>
    <w:rsid w:val="00F21EAC"/>
    <w:rsid w:val="00F26802"/>
    <w:rsid w:val="00F3243D"/>
    <w:rsid w:val="00F46D0D"/>
    <w:rsid w:val="00F92B59"/>
    <w:rsid w:val="00F948BC"/>
    <w:rsid w:val="00F960CF"/>
    <w:rsid w:val="00FA10A3"/>
    <w:rsid w:val="00FA1226"/>
    <w:rsid w:val="00FD09D8"/>
    <w:rsid w:val="00FD7D7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6E21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861AF"/>
    <w:rPr>
      <w:color w:val="954F72" w:themeColor="followedHyperlink"/>
      <w:u w:val="single"/>
    </w:rPr>
  </w:style>
  <w:style w:type="paragraph" w:styleId="Tekstprzypisudolnego">
    <w:name w:val="footnote text"/>
    <w:aliases w:val=" 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960E2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 Znak Znak,Tekst przypisu Znak,Footnote Text Char1 Znak,Footnote Text Char Char Znak,Fußnotentext Char Char Char Znak,Fußnotentext Char1 Char Char Char Znak,Fußnotentext Char Char Char Char Char Znak"/>
    <w:basedOn w:val="Domylnaczcionkaakapitu"/>
    <w:link w:val="Tekstprzypisudolnego"/>
    <w:rsid w:val="00960E2A"/>
    <w:rPr>
      <w:sz w:val="20"/>
      <w:szCs w:val="20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PRZYPIS DOLNY,FZ,Footnote reference number,Footnote Reference Superscript,BVI fnr,FR,FR1"/>
    <w:uiPriority w:val="99"/>
    <w:rsid w:val="00960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jestr.uokik.gov.pl/index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f.gov.pl/jak-pomaga-rzecznik-finansowy/porad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196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47244078-9c36-4ab9-9721-6cc692af1440" value=""/>
</sisl>
</file>

<file path=customXml/itemProps1.xml><?xml version="1.0" encoding="utf-8"?>
<ds:datastoreItem xmlns:ds="http://schemas.openxmlformats.org/officeDocument/2006/customXml" ds:itemID="{3F514C02-1C34-4534-A9FF-758004574E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2019-03-06T14:11:00Z</cp:lastPrinted>
  <dcterms:created xsi:type="dcterms:W3CDTF">2022-02-02T12:43:00Z</dcterms:created>
  <dcterms:modified xsi:type="dcterms:W3CDTF">2022-02-02T12:43:00Z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bbd3655e-35c4-48cf-bc70-be1eb682d96d</vt:lpwstr>
  </property>
  <property fmtid="{D5CDD505-2E9C-101B-9397-08002B2CF9AE}" pid="3" name="bjSaver">
    <vt:lpwstr>mlkOaELSAwji5U9rANdLwvmmIUx2zjdu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uid="47244078-9c36-4ab9-9721-6cc692af1440"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</Properties>
</file>