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286EB01" w:rsidR="0089209F" w:rsidRPr="0044619A" w:rsidRDefault="0089209F" w:rsidP="006F1881">
      <w:pPr>
        <w:pStyle w:val="Nagwek"/>
        <w:spacing w:line="360" w:lineRule="auto"/>
        <w:rPr>
          <w:rFonts w:ascii="Arial" w:hAnsi="Arial" w:cs="Arial"/>
        </w:rPr>
      </w:pPr>
      <w:bookmarkStart w:id="0" w:name="_Hlk104358543"/>
      <w:bookmarkStart w:id="1" w:name="_Hlk104358949"/>
      <w:r w:rsidRPr="0044619A">
        <w:rPr>
          <w:rFonts w:ascii="Arial" w:hAnsi="Arial" w:cs="Arial"/>
        </w:rPr>
        <w:t xml:space="preserve">Rzeszów, </w:t>
      </w:r>
      <w:r w:rsidR="0044619A" w:rsidRPr="0044619A">
        <w:rPr>
          <w:rFonts w:ascii="Arial" w:hAnsi="Arial" w:cs="Arial"/>
          <w:lang w:val="pl-PL"/>
        </w:rPr>
        <w:t>1 lipca</w:t>
      </w:r>
      <w:r w:rsidR="00E005DC" w:rsidRPr="0044619A">
        <w:rPr>
          <w:rFonts w:ascii="Arial" w:hAnsi="Arial" w:cs="Arial"/>
          <w:lang w:val="pl-PL"/>
        </w:rPr>
        <w:t xml:space="preserve"> </w:t>
      </w:r>
      <w:r w:rsidRPr="0044619A">
        <w:rPr>
          <w:rFonts w:ascii="Arial" w:hAnsi="Arial" w:cs="Arial"/>
        </w:rPr>
        <w:t>2022 r.</w:t>
      </w:r>
    </w:p>
    <w:p w14:paraId="067C078B" w14:textId="75BEE674" w:rsidR="0089209F" w:rsidRPr="0044619A" w:rsidRDefault="00E85ADB" w:rsidP="006F1881">
      <w:pPr>
        <w:pStyle w:val="Nagwek"/>
        <w:spacing w:line="360" w:lineRule="auto"/>
        <w:rPr>
          <w:rFonts w:ascii="Arial" w:hAnsi="Arial" w:cs="Arial"/>
        </w:rPr>
      </w:pPr>
      <w:r w:rsidRPr="0044619A">
        <w:rPr>
          <w:rFonts w:ascii="Arial" w:hAnsi="Arial" w:cs="Arial"/>
          <w:lang w:val="pl-PL"/>
        </w:rPr>
        <w:t>D</w:t>
      </w:r>
      <w:r w:rsidR="0044619A" w:rsidRPr="0044619A">
        <w:rPr>
          <w:rFonts w:ascii="Arial" w:hAnsi="Arial" w:cs="Arial"/>
          <w:lang w:val="pl-PL"/>
        </w:rPr>
        <w:t>K</w:t>
      </w:r>
      <w:r w:rsidR="0009281D" w:rsidRPr="0044619A">
        <w:rPr>
          <w:rFonts w:ascii="Arial" w:hAnsi="Arial" w:cs="Arial"/>
          <w:lang w:val="pl-PL"/>
        </w:rPr>
        <w:t>.8361.</w:t>
      </w:r>
      <w:r w:rsidR="0044619A" w:rsidRPr="0044619A">
        <w:rPr>
          <w:rFonts w:ascii="Arial" w:hAnsi="Arial" w:cs="Arial"/>
          <w:lang w:val="pl-PL"/>
        </w:rPr>
        <w:t>41</w:t>
      </w:r>
      <w:r w:rsidR="0009281D" w:rsidRPr="0044619A">
        <w:rPr>
          <w:rFonts w:ascii="Arial" w:hAnsi="Arial" w:cs="Arial"/>
          <w:lang w:val="pl-PL"/>
        </w:rPr>
        <w:t>.202</w:t>
      </w:r>
      <w:r w:rsidR="00E005DC" w:rsidRPr="0044619A">
        <w:rPr>
          <w:rFonts w:ascii="Arial" w:hAnsi="Arial" w:cs="Arial"/>
          <w:lang w:val="pl-PL"/>
        </w:rPr>
        <w:t>2</w:t>
      </w:r>
    </w:p>
    <w:bookmarkEnd w:id="0"/>
    <w:p w14:paraId="65E9E06F" w14:textId="7C4364F2" w:rsidR="00A96E78" w:rsidRPr="0044619A" w:rsidRDefault="00187AEB" w:rsidP="006F1881">
      <w:pPr>
        <w:pStyle w:val="Nagwek1"/>
        <w:spacing w:before="240" w:after="240" w:line="360" w:lineRule="auto"/>
        <w:jc w:val="left"/>
        <w:rPr>
          <w:rFonts w:ascii="Arial" w:hAnsi="Arial" w:cs="Arial"/>
          <w:sz w:val="28"/>
          <w:szCs w:val="28"/>
        </w:rPr>
      </w:pPr>
      <w:r w:rsidRPr="0044619A">
        <w:rPr>
          <w:rFonts w:ascii="Arial" w:hAnsi="Arial" w:cs="Arial"/>
          <w:sz w:val="28"/>
          <w:szCs w:val="28"/>
        </w:rPr>
        <w:t>Decyzja</w:t>
      </w:r>
    </w:p>
    <w:bookmarkEnd w:id="1"/>
    <w:p w14:paraId="268ACDE7" w14:textId="1E7CA9DE" w:rsidR="007F1BE6" w:rsidRPr="0044619A" w:rsidRDefault="0089209F" w:rsidP="006F1881">
      <w:pPr>
        <w:pStyle w:val="Nagwek"/>
        <w:tabs>
          <w:tab w:val="left" w:pos="708"/>
        </w:tabs>
        <w:spacing w:line="360" w:lineRule="auto"/>
        <w:rPr>
          <w:rFonts w:ascii="Arial" w:hAnsi="Arial" w:cs="Arial"/>
          <w:szCs w:val="24"/>
        </w:rPr>
      </w:pPr>
      <w:r w:rsidRPr="0044619A">
        <w:rPr>
          <w:rFonts w:ascii="Arial" w:hAnsi="Arial" w:cs="Arial"/>
          <w:szCs w:val="24"/>
        </w:rPr>
        <w:t xml:space="preserve">Na </w:t>
      </w:r>
      <w:r w:rsidR="00161557" w:rsidRPr="0044619A">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2021 r. poz. 735 z </w:t>
      </w:r>
      <w:proofErr w:type="spellStart"/>
      <w:r w:rsidR="00161557" w:rsidRPr="0044619A">
        <w:rPr>
          <w:rFonts w:ascii="Arial" w:hAnsi="Arial" w:cs="Arial"/>
          <w:szCs w:val="24"/>
          <w:lang w:val="pl-PL"/>
        </w:rPr>
        <w:t>późn</w:t>
      </w:r>
      <w:proofErr w:type="spellEnd"/>
      <w:r w:rsidR="00161557" w:rsidRPr="0044619A">
        <w:rPr>
          <w:rFonts w:ascii="Arial" w:hAnsi="Arial" w:cs="Arial"/>
          <w:szCs w:val="24"/>
          <w:lang w:val="pl-PL"/>
        </w:rPr>
        <w:t>. zm.), po przeprowadzeniu postępowania administracyjnego wszczętego z urzędu</w:t>
      </w:r>
      <w:r w:rsidR="00065686" w:rsidRPr="0044619A">
        <w:rPr>
          <w:rFonts w:ascii="Arial" w:hAnsi="Arial" w:cs="Arial"/>
          <w:szCs w:val="24"/>
          <w:lang w:val="pl-PL"/>
        </w:rPr>
        <w:t>,</w:t>
      </w:r>
    </w:p>
    <w:p w14:paraId="6DEFC71B" w14:textId="4A4FF0E5" w:rsidR="007F1BE6" w:rsidRPr="0044619A" w:rsidRDefault="00774EB6" w:rsidP="006F1881">
      <w:pPr>
        <w:pStyle w:val="Nagwek2"/>
      </w:pPr>
      <w:r w:rsidRPr="0044619A">
        <w:t>Podkarpacki Wojewódzki Inspektor Inspekcji Handlowej wymierza</w:t>
      </w:r>
    </w:p>
    <w:p w14:paraId="2E93F66F" w14:textId="09F8EFF7" w:rsidR="00161557" w:rsidRPr="0044619A" w:rsidRDefault="00161557" w:rsidP="00161557">
      <w:pPr>
        <w:spacing w:before="120" w:line="360" w:lineRule="auto"/>
        <w:rPr>
          <w:rFonts w:ascii="Arial" w:hAnsi="Arial" w:cs="Arial"/>
          <w:szCs w:val="24"/>
        </w:rPr>
      </w:pPr>
      <w:r w:rsidRPr="0044619A">
        <w:rPr>
          <w:rFonts w:ascii="Arial" w:hAnsi="Arial" w:cs="Arial"/>
          <w:szCs w:val="24"/>
        </w:rPr>
        <w:t>przedsiębiorcom:</w:t>
      </w:r>
    </w:p>
    <w:p w14:paraId="052C9137" w14:textId="77777777" w:rsidR="0044619A" w:rsidRPr="0044619A" w:rsidRDefault="0044619A">
      <w:pPr>
        <w:numPr>
          <w:ilvl w:val="0"/>
          <w:numId w:val="1"/>
        </w:numPr>
        <w:spacing w:before="120" w:line="360" w:lineRule="auto"/>
        <w:ind w:left="426"/>
        <w:rPr>
          <w:rFonts w:ascii="Arial" w:hAnsi="Arial" w:cs="Arial"/>
          <w:b/>
          <w:bCs/>
          <w:szCs w:val="24"/>
        </w:rPr>
      </w:pPr>
      <w:r w:rsidRPr="0044619A">
        <w:rPr>
          <w:rFonts w:ascii="Arial" w:hAnsi="Arial" w:cs="Arial"/>
          <w:bCs/>
          <w:szCs w:val="24"/>
        </w:rPr>
        <w:t xml:space="preserve">Panu </w:t>
      </w:r>
      <w:r w:rsidRPr="0044619A">
        <w:rPr>
          <w:rFonts w:ascii="Arial" w:hAnsi="Arial" w:cs="Arial"/>
          <w:b/>
          <w:bCs/>
          <w:szCs w:val="24"/>
        </w:rPr>
        <w:t xml:space="preserve">(dane zanonimizowane) </w:t>
      </w:r>
      <w:r w:rsidRPr="0044619A">
        <w:rPr>
          <w:rFonts w:ascii="Arial" w:hAnsi="Arial" w:cs="Arial"/>
          <w:bCs/>
          <w:szCs w:val="24"/>
        </w:rPr>
        <w:t xml:space="preserve">prowadzącemu działalność pod firmą </w:t>
      </w:r>
      <w:r w:rsidRPr="0044619A">
        <w:rPr>
          <w:rFonts w:ascii="Arial" w:hAnsi="Arial" w:cs="Arial"/>
          <w:b/>
          <w:bCs/>
          <w:szCs w:val="24"/>
        </w:rPr>
        <w:t xml:space="preserve">Jacek </w:t>
      </w:r>
      <w:proofErr w:type="spellStart"/>
      <w:r w:rsidRPr="0044619A">
        <w:rPr>
          <w:rFonts w:ascii="Arial" w:hAnsi="Arial" w:cs="Arial"/>
          <w:b/>
          <w:bCs/>
          <w:szCs w:val="24"/>
        </w:rPr>
        <w:t>Glazar</w:t>
      </w:r>
      <w:proofErr w:type="spellEnd"/>
      <w:r w:rsidRPr="0044619A">
        <w:rPr>
          <w:rFonts w:ascii="Arial" w:hAnsi="Arial" w:cs="Arial"/>
          <w:b/>
          <w:bCs/>
          <w:szCs w:val="24"/>
        </w:rPr>
        <w:t xml:space="preserve"> wspólnik spółki cywilnej Firma Handlowo-Usługowa „BUDO-HURT”, Cergowa (dane zanonimizowane) Dukla;</w:t>
      </w:r>
    </w:p>
    <w:p w14:paraId="19CBA32E" w14:textId="77777777" w:rsidR="0044619A" w:rsidRPr="0044619A" w:rsidRDefault="0044619A">
      <w:pPr>
        <w:numPr>
          <w:ilvl w:val="0"/>
          <w:numId w:val="1"/>
        </w:numPr>
        <w:spacing w:before="120" w:line="360" w:lineRule="auto"/>
        <w:ind w:left="426"/>
        <w:rPr>
          <w:rFonts w:ascii="Arial" w:hAnsi="Arial" w:cs="Arial"/>
          <w:b/>
          <w:bCs/>
          <w:szCs w:val="24"/>
        </w:rPr>
      </w:pPr>
      <w:r w:rsidRPr="0044619A">
        <w:rPr>
          <w:rFonts w:ascii="Arial" w:hAnsi="Arial" w:cs="Arial"/>
          <w:bCs/>
          <w:szCs w:val="24"/>
        </w:rPr>
        <w:t>Panu</w:t>
      </w:r>
      <w:r w:rsidRPr="0044619A">
        <w:rPr>
          <w:rFonts w:ascii="Arial" w:hAnsi="Arial" w:cs="Arial"/>
          <w:b/>
          <w:bCs/>
          <w:szCs w:val="24"/>
        </w:rPr>
        <w:t xml:space="preserve"> (dane zanonimizowane) </w:t>
      </w:r>
      <w:r w:rsidRPr="0044619A">
        <w:rPr>
          <w:rFonts w:ascii="Arial" w:hAnsi="Arial" w:cs="Arial"/>
          <w:bCs/>
          <w:szCs w:val="24"/>
        </w:rPr>
        <w:t xml:space="preserve">prowadzącemu działalność pod firmą </w:t>
      </w:r>
      <w:r w:rsidRPr="0044619A">
        <w:rPr>
          <w:rFonts w:ascii="Arial" w:hAnsi="Arial" w:cs="Arial"/>
          <w:b/>
          <w:bCs/>
          <w:szCs w:val="24"/>
        </w:rPr>
        <w:t>Marcin Wal 1.Firma Handlowo-Usługowa, „BUDO-HURT” s.c., Cergowa (dane zanonimizowane) Dukla.</w:t>
      </w:r>
    </w:p>
    <w:p w14:paraId="5786C13C" w14:textId="77777777" w:rsidR="0044619A" w:rsidRPr="0044619A" w:rsidRDefault="0044619A" w:rsidP="0044619A">
      <w:pPr>
        <w:spacing w:before="120" w:line="360" w:lineRule="auto"/>
        <w:rPr>
          <w:rFonts w:ascii="Arial" w:hAnsi="Arial" w:cs="Arial"/>
          <w:b/>
          <w:bCs/>
          <w:sz w:val="28"/>
          <w:szCs w:val="28"/>
        </w:rPr>
      </w:pPr>
      <w:r w:rsidRPr="0044619A">
        <w:rPr>
          <w:rFonts w:ascii="Arial" w:hAnsi="Arial" w:cs="Arial"/>
          <w:szCs w:val="24"/>
        </w:rPr>
        <w:t xml:space="preserve">wspólnikom spółki cywilnej – Firma Handlowo-Usługowa „BUDO-HURT”, </w:t>
      </w:r>
      <w:r w:rsidRPr="0044619A">
        <w:rPr>
          <w:rFonts w:ascii="Arial" w:hAnsi="Arial" w:cs="Arial"/>
          <w:bCs/>
          <w:szCs w:val="24"/>
        </w:rPr>
        <w:t xml:space="preserve">Cergowa </w:t>
      </w:r>
      <w:r w:rsidRPr="0044619A">
        <w:rPr>
          <w:rFonts w:ascii="Arial" w:hAnsi="Arial" w:cs="Arial"/>
          <w:b/>
          <w:bCs/>
          <w:szCs w:val="24"/>
        </w:rPr>
        <w:t>(dane zanonimizowane)</w:t>
      </w:r>
      <w:r w:rsidRPr="0044619A">
        <w:rPr>
          <w:rFonts w:ascii="Arial" w:hAnsi="Arial" w:cs="Arial"/>
          <w:bCs/>
          <w:szCs w:val="24"/>
        </w:rPr>
        <w:t xml:space="preserve"> Dukla</w:t>
      </w:r>
      <w:r w:rsidRPr="0044619A">
        <w:rPr>
          <w:rFonts w:ascii="Arial" w:hAnsi="Arial" w:cs="Arial"/>
          <w:szCs w:val="24"/>
        </w:rPr>
        <w:t xml:space="preserve"> -</w:t>
      </w:r>
      <w:r w:rsidRPr="0044619A">
        <w:rPr>
          <w:rStyle w:val="Domylnaczcionkaakapitu1"/>
          <w:rFonts w:ascii="Arial" w:hAnsi="Arial" w:cs="Arial"/>
          <w:szCs w:val="24"/>
        </w:rPr>
        <w:t xml:space="preserve"> </w:t>
      </w:r>
      <w:r w:rsidRPr="0044619A">
        <w:rPr>
          <w:rFonts w:ascii="Arial" w:hAnsi="Arial" w:cs="Arial"/>
          <w:szCs w:val="24"/>
        </w:rPr>
        <w:t xml:space="preserve">karę pieniężną w wysokości </w:t>
      </w:r>
      <w:r w:rsidRPr="0044619A">
        <w:rPr>
          <w:rFonts w:ascii="Arial" w:hAnsi="Arial" w:cs="Arial"/>
          <w:b/>
          <w:szCs w:val="24"/>
        </w:rPr>
        <w:t>500 zł</w:t>
      </w:r>
      <w:r w:rsidRPr="0044619A">
        <w:rPr>
          <w:rFonts w:ascii="Arial" w:hAnsi="Arial" w:cs="Arial"/>
          <w:szCs w:val="24"/>
        </w:rPr>
        <w:t xml:space="preserve"> (słownie: </w:t>
      </w:r>
      <w:r w:rsidRPr="0044619A">
        <w:rPr>
          <w:rFonts w:ascii="Arial" w:hAnsi="Arial" w:cs="Arial"/>
          <w:b/>
          <w:szCs w:val="24"/>
        </w:rPr>
        <w:t>pięćset złotych</w:t>
      </w:r>
      <w:r w:rsidRPr="0044619A">
        <w:rPr>
          <w:rFonts w:ascii="Arial" w:hAnsi="Arial" w:cs="Arial"/>
          <w:szCs w:val="24"/>
        </w:rPr>
        <w:t xml:space="preserve">) za niewykonanie w miejscu sprzedaży detalicznej – tj. w sklepie z artykułami przemysłowymi „Budo-Hurt” w Cergowej </w:t>
      </w:r>
      <w:r w:rsidRPr="0044619A">
        <w:rPr>
          <w:rFonts w:ascii="Arial" w:hAnsi="Arial" w:cs="Arial"/>
          <w:b/>
          <w:bCs/>
          <w:szCs w:val="24"/>
        </w:rPr>
        <w:t xml:space="preserve">(dane zanonimizowane) </w:t>
      </w:r>
      <w:r w:rsidRPr="0044619A">
        <w:rPr>
          <w:rFonts w:ascii="Arial" w:hAnsi="Arial" w:cs="Arial"/>
          <w:szCs w:val="24"/>
        </w:rPr>
        <w:t>Dukla, należącym do ww. przedsiębiorców, wynikającego z art. 4 ust. 1 ustawy obowiązku uwidaczniania cen w sposób jednoznaczny, niebudzący wątpliwości oraz umożliwiający ich porównanie dla 21 partii produktów poprzez:</w:t>
      </w:r>
    </w:p>
    <w:p w14:paraId="31430C92" w14:textId="5EBBCA92" w:rsidR="00774EB6" w:rsidRPr="0044619A" w:rsidRDefault="0044619A">
      <w:pPr>
        <w:pStyle w:val="Akapitzlist"/>
        <w:numPr>
          <w:ilvl w:val="0"/>
          <w:numId w:val="3"/>
        </w:numPr>
        <w:spacing w:before="120" w:line="360" w:lineRule="auto"/>
        <w:rPr>
          <w:rFonts w:ascii="Arial" w:hAnsi="Arial" w:cs="Arial"/>
          <w:bCs/>
          <w:szCs w:val="24"/>
        </w:rPr>
      </w:pPr>
      <w:r w:rsidRPr="0044619A">
        <w:rPr>
          <w:rFonts w:ascii="Arial" w:hAnsi="Arial" w:cs="Arial"/>
          <w:szCs w:val="24"/>
        </w:rPr>
        <w:t>nieuwidocznienie ceny na towarze, bezpośrednio przy towarze lub w bliskości towaru</w:t>
      </w:r>
      <w:r w:rsidR="00774EB6" w:rsidRPr="0044619A">
        <w:rPr>
          <w:rFonts w:ascii="Arial" w:hAnsi="Arial" w:cs="Arial"/>
          <w:szCs w:val="24"/>
        </w:rPr>
        <w:t xml:space="preserve">. </w:t>
      </w:r>
    </w:p>
    <w:p w14:paraId="637F9D98" w14:textId="0ECE6F3E" w:rsidR="00D74C22" w:rsidRPr="0044619A" w:rsidRDefault="00B65984" w:rsidP="006F1881">
      <w:pPr>
        <w:pStyle w:val="Nagwek2"/>
      </w:pPr>
      <w:r w:rsidRPr="0044619A">
        <w:t>Uzasadnienie</w:t>
      </w:r>
    </w:p>
    <w:p w14:paraId="55020C95" w14:textId="1008DAD0" w:rsidR="0044619A" w:rsidRPr="0044619A" w:rsidRDefault="00D27EFC" w:rsidP="0044619A">
      <w:pPr>
        <w:pStyle w:val="Nagwek3"/>
        <w:spacing w:before="120"/>
        <w:rPr>
          <w:lang w:eastAsia="x-none"/>
        </w:rPr>
      </w:pPr>
      <w:r w:rsidRPr="0044619A">
        <w:rPr>
          <w:bCs w:val="0"/>
        </w:rPr>
        <w:t xml:space="preserve">Na </w:t>
      </w:r>
      <w:r w:rsidR="0044619A" w:rsidRPr="0044619A">
        <w:rPr>
          <w:lang w:eastAsia="x-none"/>
        </w:rPr>
        <w:t>podstawie art. 3 ust. 1 pkt 1 i 6 ustawy z dnia 15 grudnia 2000 r. o Inspekcji Handlowej</w:t>
      </w:r>
      <w:r w:rsidR="0044619A" w:rsidRPr="0044619A">
        <w:rPr>
          <w:lang w:eastAsia="x-none"/>
        </w:rPr>
        <w:t xml:space="preserve"> </w:t>
      </w:r>
      <w:r w:rsidR="0044619A" w:rsidRPr="0044619A">
        <w:rPr>
          <w:lang w:eastAsia="x-none"/>
        </w:rPr>
        <w:t xml:space="preserve">(tekst jednolity: Dz. U. z 2020 r., poz. 1706), inspektorzy z Delegatury w </w:t>
      </w:r>
      <w:r w:rsidR="0044619A" w:rsidRPr="0044619A">
        <w:rPr>
          <w:lang w:eastAsia="x-none"/>
        </w:rPr>
        <w:lastRenderedPageBreak/>
        <w:t>Krośnie Wojewódzkiego Inspektoratu Inspekcji Handlowej w Rzeszowie, przeprowadzili w dniach</w:t>
      </w:r>
      <w:r w:rsidR="0044619A" w:rsidRPr="0044619A">
        <w:rPr>
          <w:lang w:eastAsia="x-none"/>
        </w:rPr>
        <w:t xml:space="preserve"> </w:t>
      </w:r>
      <w:r w:rsidR="0044619A" w:rsidRPr="0044619A">
        <w:rPr>
          <w:lang w:eastAsia="x-none"/>
        </w:rPr>
        <w:t>9 i 17 maja 2022 r., kontrolę w sklepie z artykułami przemysłowymi „BUDO-HURT”,</w:t>
      </w:r>
      <w:r w:rsidR="0044619A" w:rsidRPr="0044619A">
        <w:rPr>
          <w:lang w:eastAsia="x-none"/>
        </w:rPr>
        <w:t xml:space="preserve"> </w:t>
      </w:r>
      <w:r w:rsidR="0044619A" w:rsidRPr="0044619A">
        <w:rPr>
          <w:lang w:eastAsia="x-none"/>
        </w:rPr>
        <w:t xml:space="preserve">Cergowa nr </w:t>
      </w:r>
      <w:r w:rsidR="0044619A" w:rsidRPr="0044619A">
        <w:rPr>
          <w:b/>
          <w:lang w:eastAsia="x-none"/>
        </w:rPr>
        <w:t>(dane zanonimizowane)</w:t>
      </w:r>
      <w:r w:rsidR="0044619A" w:rsidRPr="0044619A">
        <w:rPr>
          <w:lang w:eastAsia="x-none"/>
        </w:rPr>
        <w:t xml:space="preserve"> Dukla, której właścicielami są:</w:t>
      </w:r>
    </w:p>
    <w:p w14:paraId="4AA9865F" w14:textId="77777777" w:rsidR="0044619A" w:rsidRPr="0044619A" w:rsidRDefault="0044619A">
      <w:pPr>
        <w:pStyle w:val="Akapitzlist"/>
        <w:numPr>
          <w:ilvl w:val="0"/>
          <w:numId w:val="4"/>
        </w:numPr>
        <w:spacing w:before="120" w:line="360" w:lineRule="auto"/>
        <w:rPr>
          <w:rFonts w:ascii="Arial" w:hAnsi="Arial" w:cs="Arial"/>
          <w:bCs/>
          <w:szCs w:val="24"/>
          <w:lang w:eastAsia="x-none"/>
        </w:rPr>
      </w:pPr>
      <w:r w:rsidRPr="0044619A">
        <w:rPr>
          <w:rFonts w:ascii="Arial" w:hAnsi="Arial" w:cs="Arial"/>
          <w:bCs/>
          <w:szCs w:val="24"/>
          <w:lang w:eastAsia="x-none"/>
        </w:rPr>
        <w:t xml:space="preserve">Pan </w:t>
      </w:r>
      <w:r w:rsidRPr="0044619A">
        <w:rPr>
          <w:rFonts w:ascii="Arial" w:hAnsi="Arial" w:cs="Arial"/>
          <w:b/>
          <w:bCs/>
          <w:szCs w:val="24"/>
          <w:lang w:eastAsia="x-none"/>
        </w:rPr>
        <w:t>(dane zanonimizowane)</w:t>
      </w:r>
      <w:r w:rsidRPr="0044619A">
        <w:rPr>
          <w:rFonts w:ascii="Arial" w:hAnsi="Arial" w:cs="Arial"/>
          <w:bCs/>
          <w:szCs w:val="24"/>
          <w:lang w:eastAsia="x-none"/>
        </w:rPr>
        <w:t xml:space="preserve">prowadzący działalność pod firmą Jacek </w:t>
      </w:r>
      <w:proofErr w:type="spellStart"/>
      <w:r w:rsidRPr="0044619A">
        <w:rPr>
          <w:rFonts w:ascii="Arial" w:hAnsi="Arial" w:cs="Arial"/>
          <w:bCs/>
          <w:szCs w:val="24"/>
          <w:lang w:eastAsia="x-none"/>
        </w:rPr>
        <w:t>Glazar</w:t>
      </w:r>
      <w:proofErr w:type="spellEnd"/>
      <w:r w:rsidRPr="0044619A">
        <w:rPr>
          <w:rFonts w:ascii="Arial" w:hAnsi="Arial" w:cs="Arial"/>
          <w:bCs/>
          <w:szCs w:val="24"/>
          <w:lang w:eastAsia="x-none"/>
        </w:rPr>
        <w:t xml:space="preserve">, wspólnik spółki cywilnej Firma Handlowo-Usługowa „BUDO-HURT”, Cergowa </w:t>
      </w:r>
      <w:r w:rsidRPr="0044619A">
        <w:rPr>
          <w:rFonts w:ascii="Arial" w:hAnsi="Arial" w:cs="Arial"/>
          <w:b/>
          <w:bCs/>
          <w:szCs w:val="24"/>
          <w:lang w:eastAsia="x-none"/>
        </w:rPr>
        <w:t xml:space="preserve">(dane zanonimizowane) </w:t>
      </w:r>
      <w:r w:rsidRPr="0044619A">
        <w:rPr>
          <w:rFonts w:ascii="Arial" w:hAnsi="Arial" w:cs="Arial"/>
          <w:bCs/>
          <w:szCs w:val="24"/>
          <w:lang w:eastAsia="x-none"/>
        </w:rPr>
        <w:t>Dukla;</w:t>
      </w:r>
    </w:p>
    <w:p w14:paraId="6494C6F9" w14:textId="77777777" w:rsidR="0044619A" w:rsidRPr="0044619A" w:rsidRDefault="0044619A">
      <w:pPr>
        <w:pStyle w:val="Akapitzlist"/>
        <w:numPr>
          <w:ilvl w:val="0"/>
          <w:numId w:val="4"/>
        </w:numPr>
        <w:spacing w:before="120" w:line="360" w:lineRule="auto"/>
        <w:rPr>
          <w:rFonts w:ascii="Arial" w:hAnsi="Arial" w:cs="Arial"/>
          <w:bCs/>
          <w:szCs w:val="24"/>
          <w:lang w:eastAsia="x-none"/>
        </w:rPr>
      </w:pPr>
      <w:r w:rsidRPr="0044619A">
        <w:rPr>
          <w:rFonts w:ascii="Arial" w:hAnsi="Arial" w:cs="Arial"/>
          <w:bCs/>
          <w:szCs w:val="24"/>
          <w:lang w:eastAsia="x-none"/>
        </w:rPr>
        <w:t xml:space="preserve">Pan </w:t>
      </w:r>
      <w:r w:rsidRPr="0044619A">
        <w:rPr>
          <w:rFonts w:ascii="Arial" w:hAnsi="Arial" w:cs="Arial"/>
          <w:b/>
          <w:bCs/>
          <w:szCs w:val="24"/>
          <w:lang w:eastAsia="x-none"/>
        </w:rPr>
        <w:t xml:space="preserve">(dane zanonimizowane) </w:t>
      </w:r>
      <w:r w:rsidRPr="0044619A">
        <w:rPr>
          <w:rFonts w:ascii="Arial" w:hAnsi="Arial" w:cs="Arial"/>
          <w:bCs/>
          <w:szCs w:val="24"/>
          <w:lang w:eastAsia="x-none"/>
        </w:rPr>
        <w:t xml:space="preserve">prowadzący działalność pod firmą Marcin Wal 1. Firma Handlowo-Usługowa, „BUDO-HURT” s.c., Cergowa </w:t>
      </w:r>
      <w:r w:rsidRPr="0044619A">
        <w:rPr>
          <w:rFonts w:ascii="Arial" w:hAnsi="Arial" w:cs="Arial"/>
          <w:b/>
          <w:bCs/>
          <w:szCs w:val="24"/>
          <w:lang w:eastAsia="x-none"/>
        </w:rPr>
        <w:t xml:space="preserve">(dane zanonimizowane) </w:t>
      </w:r>
      <w:r w:rsidRPr="0044619A">
        <w:rPr>
          <w:rFonts w:ascii="Arial" w:hAnsi="Arial" w:cs="Arial"/>
          <w:bCs/>
          <w:szCs w:val="24"/>
          <w:lang w:eastAsia="x-none"/>
        </w:rPr>
        <w:t>Dukla.</w:t>
      </w:r>
    </w:p>
    <w:p w14:paraId="3AA21DD7" w14:textId="77777777" w:rsidR="0044619A" w:rsidRPr="0044619A" w:rsidRDefault="0044619A" w:rsidP="0044619A">
      <w:pPr>
        <w:spacing w:before="120" w:line="360" w:lineRule="auto"/>
        <w:rPr>
          <w:rFonts w:ascii="Arial" w:hAnsi="Arial" w:cs="Arial"/>
          <w:bCs/>
          <w:szCs w:val="24"/>
          <w:lang w:eastAsia="x-none"/>
        </w:rPr>
      </w:pPr>
      <w:r w:rsidRPr="0044619A">
        <w:rPr>
          <w:rFonts w:ascii="Arial" w:hAnsi="Arial" w:cs="Arial"/>
          <w:bCs/>
          <w:szCs w:val="24"/>
          <w:lang w:eastAsia="x-none"/>
        </w:rPr>
        <w:t xml:space="preserve">wspólnicy spółki cywilnej – Firma Handlowo-Usługowa „BUDO-HURT”, Cergowa </w:t>
      </w:r>
      <w:r w:rsidRPr="0044619A">
        <w:rPr>
          <w:rFonts w:ascii="Arial" w:hAnsi="Arial" w:cs="Arial"/>
          <w:b/>
          <w:bCs/>
          <w:szCs w:val="24"/>
          <w:lang w:eastAsia="x-none"/>
        </w:rPr>
        <w:t xml:space="preserve">(dane zanonimizowane) </w:t>
      </w:r>
      <w:r w:rsidRPr="0044619A">
        <w:rPr>
          <w:rFonts w:ascii="Arial" w:hAnsi="Arial" w:cs="Arial"/>
          <w:bCs/>
          <w:szCs w:val="24"/>
          <w:lang w:eastAsia="x-none"/>
        </w:rPr>
        <w:t xml:space="preserve">Dukla – zwani dalej „kontrolowanymi” „przedsiębiorcami” lub „stronami”. </w:t>
      </w:r>
    </w:p>
    <w:p w14:paraId="08185875" w14:textId="635978CF" w:rsidR="0044619A" w:rsidRPr="0044619A" w:rsidRDefault="0044619A" w:rsidP="0044619A">
      <w:pPr>
        <w:spacing w:before="120" w:line="360" w:lineRule="auto"/>
        <w:rPr>
          <w:rFonts w:ascii="Arial" w:hAnsi="Arial" w:cs="Arial"/>
          <w:szCs w:val="24"/>
          <w:lang w:eastAsia="x-none"/>
        </w:rPr>
      </w:pPr>
      <w:r w:rsidRPr="0044619A">
        <w:rPr>
          <w:rFonts w:ascii="Arial" w:hAnsi="Arial" w:cs="Arial"/>
          <w:bCs/>
          <w:szCs w:val="24"/>
          <w:lang w:eastAsia="x-none"/>
        </w:rPr>
        <w:t>Kontrolę przeprowadzono po uprzednim zawiadomieniu przedsiębiorców pismami sygn. DK.8360.27.2022 z dnia 27 kwietnia 2022 r. o zamiarze wszczęcia kontroli na podstawie</w:t>
      </w:r>
      <w:r w:rsidRPr="0044619A">
        <w:rPr>
          <w:rFonts w:ascii="Arial" w:hAnsi="Arial" w:cs="Arial"/>
          <w:lang w:eastAsia="x-none"/>
        </w:rPr>
        <w:t xml:space="preserve"> </w:t>
      </w:r>
      <w:r w:rsidRPr="0044619A">
        <w:rPr>
          <w:rFonts w:ascii="Arial" w:hAnsi="Arial" w:cs="Arial"/>
          <w:bCs/>
          <w:szCs w:val="24"/>
          <w:lang w:eastAsia="x-none"/>
        </w:rPr>
        <w:t>art. 48 ust. 1 ustawy z dnia 6 marca 2018 r. Prawo Przedsiębiorców (tekst jednolity:</w:t>
      </w:r>
      <w:r w:rsidRPr="0044619A">
        <w:rPr>
          <w:rFonts w:ascii="Arial" w:hAnsi="Arial" w:cs="Arial"/>
          <w:lang w:eastAsia="x-none"/>
        </w:rPr>
        <w:t xml:space="preserve"> </w:t>
      </w:r>
      <w:r w:rsidRPr="0044619A">
        <w:rPr>
          <w:rFonts w:ascii="Arial" w:hAnsi="Arial" w:cs="Arial"/>
          <w:bCs/>
          <w:szCs w:val="24"/>
          <w:lang w:eastAsia="x-none"/>
        </w:rPr>
        <w:t xml:space="preserve">Dz. U. z 2021 r. poz. 162 ze zm.) doręczonymi w dniu 29 kwietnia 2022 r. </w:t>
      </w:r>
      <w:r w:rsidRPr="0044619A">
        <w:rPr>
          <w:rFonts w:ascii="Arial" w:hAnsi="Arial" w:cs="Arial"/>
          <w:szCs w:val="24"/>
          <w:lang w:eastAsia="x-none"/>
        </w:rPr>
        <w:t>W dniu 9 maja 2022 r. inspektorzy sprawdzili prawidłowość uwidaczniania informacji</w:t>
      </w:r>
      <w:r w:rsidRPr="0044619A">
        <w:rPr>
          <w:rFonts w:ascii="Arial" w:hAnsi="Arial" w:cs="Arial"/>
          <w:lang w:eastAsia="x-none"/>
        </w:rPr>
        <w:t xml:space="preserve"> </w:t>
      </w:r>
      <w:r w:rsidRPr="0044619A">
        <w:rPr>
          <w:rFonts w:ascii="Arial" w:hAnsi="Arial" w:cs="Arial"/>
          <w:szCs w:val="24"/>
          <w:lang w:eastAsia="x-none"/>
        </w:rPr>
        <w:t xml:space="preserve">w powyższym zakresie dla </w:t>
      </w:r>
      <w:r w:rsidRPr="0044619A">
        <w:rPr>
          <w:rFonts w:ascii="Arial" w:hAnsi="Arial" w:cs="Arial"/>
          <w:b/>
          <w:szCs w:val="24"/>
          <w:lang w:eastAsia="x-none"/>
        </w:rPr>
        <w:t>124</w:t>
      </w:r>
      <w:r w:rsidRPr="0044619A">
        <w:rPr>
          <w:rFonts w:ascii="Arial" w:hAnsi="Arial" w:cs="Arial"/>
          <w:szCs w:val="24"/>
          <w:lang w:eastAsia="x-none"/>
        </w:rPr>
        <w:t xml:space="preserve"> losowo wybranych artykułów przemysłowych stwierdzając:</w:t>
      </w:r>
    </w:p>
    <w:p w14:paraId="2906442A" w14:textId="77777777" w:rsidR="0044619A" w:rsidRPr="0044619A" w:rsidRDefault="0044619A">
      <w:pPr>
        <w:pStyle w:val="Akapitzlist"/>
        <w:numPr>
          <w:ilvl w:val="0"/>
          <w:numId w:val="3"/>
        </w:numPr>
        <w:spacing w:before="120" w:line="360" w:lineRule="auto"/>
        <w:ind w:left="426"/>
        <w:rPr>
          <w:rFonts w:ascii="Arial" w:hAnsi="Arial" w:cs="Arial"/>
          <w:b/>
          <w:bCs/>
          <w:szCs w:val="24"/>
          <w:lang w:eastAsia="x-none"/>
        </w:rPr>
      </w:pPr>
      <w:r w:rsidRPr="0044619A">
        <w:rPr>
          <w:rFonts w:ascii="Arial" w:hAnsi="Arial" w:cs="Arial"/>
          <w:b/>
          <w:bCs/>
          <w:szCs w:val="24"/>
          <w:lang w:eastAsia="x-none"/>
        </w:rPr>
        <w:t xml:space="preserve">nieuwidocznienie ceny na towarze, bezpośrednio przy towarze lub w bliskości towaru dla 21 partii produktów oferowanych do sprzedaży tj.: </w:t>
      </w:r>
    </w:p>
    <w:p w14:paraId="7071D9EB"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Wiertło - otwornica, 5 części, 33-73 mm, </w:t>
      </w:r>
      <w:proofErr w:type="spellStart"/>
      <w:r w:rsidRPr="0044619A">
        <w:rPr>
          <w:rFonts w:ascii="Arial" w:hAnsi="Arial" w:cs="Arial"/>
          <w:bCs/>
          <w:szCs w:val="24"/>
          <w:lang w:eastAsia="x-none"/>
        </w:rPr>
        <w:t>Ega</w:t>
      </w:r>
      <w:proofErr w:type="spellEnd"/>
      <w:r w:rsidRPr="0044619A">
        <w:rPr>
          <w:rFonts w:ascii="Arial" w:hAnsi="Arial" w:cs="Arial"/>
          <w:bCs/>
          <w:szCs w:val="24"/>
          <w:lang w:eastAsia="x-none"/>
        </w:rPr>
        <w:t xml:space="preserve"> Sp. z o.o., Sp. k.,</w:t>
      </w:r>
    </w:p>
    <w:p w14:paraId="5AC20454"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Dysk listkowy 125 mm, EGA Sp. z o.o. Sp. k.,</w:t>
      </w:r>
    </w:p>
    <w:p w14:paraId="602D0360"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Tarcza diamentowa Ø 125 mm, </w:t>
      </w:r>
      <w:proofErr w:type="spellStart"/>
      <w:r w:rsidRPr="0044619A">
        <w:rPr>
          <w:rFonts w:ascii="Arial" w:hAnsi="Arial" w:cs="Arial"/>
          <w:bCs/>
          <w:szCs w:val="24"/>
          <w:lang w:eastAsia="x-none"/>
        </w:rPr>
        <w:t>Faster</w:t>
      </w:r>
      <w:proofErr w:type="spellEnd"/>
      <w:r w:rsidRPr="0044619A">
        <w:rPr>
          <w:rFonts w:ascii="Arial" w:hAnsi="Arial" w:cs="Arial"/>
          <w:bCs/>
          <w:szCs w:val="24"/>
          <w:lang w:eastAsia="x-none"/>
        </w:rPr>
        <w:t xml:space="preserve"> Tools, </w:t>
      </w:r>
    </w:p>
    <w:p w14:paraId="39E75331"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Pędzel do farb 25 mm, </w:t>
      </w:r>
      <w:proofErr w:type="spellStart"/>
      <w:r w:rsidRPr="0044619A">
        <w:rPr>
          <w:rFonts w:ascii="Arial" w:hAnsi="Arial" w:cs="Arial"/>
          <w:bCs/>
          <w:szCs w:val="24"/>
          <w:lang w:eastAsia="x-none"/>
        </w:rPr>
        <w:t>Nespoli</w:t>
      </w:r>
      <w:proofErr w:type="spellEnd"/>
      <w:r w:rsidRPr="0044619A">
        <w:rPr>
          <w:rFonts w:ascii="Arial" w:hAnsi="Arial" w:cs="Arial"/>
          <w:bCs/>
          <w:szCs w:val="24"/>
          <w:lang w:eastAsia="x-none"/>
        </w:rPr>
        <w:t xml:space="preserve">, </w:t>
      </w:r>
    </w:p>
    <w:p w14:paraId="7A6F460E"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Pędzel do farb 50 mm, </w:t>
      </w:r>
      <w:proofErr w:type="spellStart"/>
      <w:r w:rsidRPr="0044619A">
        <w:rPr>
          <w:rFonts w:ascii="Arial" w:hAnsi="Arial" w:cs="Arial"/>
          <w:bCs/>
          <w:szCs w:val="24"/>
          <w:lang w:eastAsia="x-none"/>
        </w:rPr>
        <w:t>Nespoli</w:t>
      </w:r>
      <w:proofErr w:type="spellEnd"/>
      <w:r w:rsidRPr="0044619A">
        <w:rPr>
          <w:rFonts w:ascii="Arial" w:hAnsi="Arial" w:cs="Arial"/>
          <w:bCs/>
          <w:szCs w:val="24"/>
          <w:lang w:eastAsia="x-none"/>
        </w:rPr>
        <w:t xml:space="preserve">, </w:t>
      </w:r>
    </w:p>
    <w:p w14:paraId="19DF7D53"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Pędzel do farb 4 mm, </w:t>
      </w:r>
      <w:proofErr w:type="spellStart"/>
      <w:r w:rsidRPr="0044619A">
        <w:rPr>
          <w:rFonts w:ascii="Arial" w:hAnsi="Arial" w:cs="Arial"/>
          <w:bCs/>
          <w:szCs w:val="24"/>
          <w:lang w:eastAsia="x-none"/>
        </w:rPr>
        <w:t>Nespoli</w:t>
      </w:r>
      <w:proofErr w:type="spellEnd"/>
      <w:r w:rsidRPr="0044619A">
        <w:rPr>
          <w:rFonts w:ascii="Arial" w:hAnsi="Arial" w:cs="Arial"/>
          <w:bCs/>
          <w:szCs w:val="24"/>
          <w:lang w:eastAsia="x-none"/>
        </w:rPr>
        <w:t xml:space="preserve">, </w:t>
      </w:r>
    </w:p>
    <w:p w14:paraId="2DD7A4E8"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Nożyce do blachy prawe 250 mm, NB-01-P25, Pro Sp. z o.o.,</w:t>
      </w:r>
    </w:p>
    <w:p w14:paraId="44DE2442"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Nożyce do blachy lewe 250 mm, NB-01N-L25, Pro Sp. z o.o., </w:t>
      </w:r>
    </w:p>
    <w:p w14:paraId="1921D8DD"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Taśma miernicza 20 m, S-10620, </w:t>
      </w:r>
      <w:proofErr w:type="spellStart"/>
      <w:r w:rsidRPr="0044619A">
        <w:rPr>
          <w:rFonts w:ascii="Arial" w:hAnsi="Arial" w:cs="Arial"/>
          <w:bCs/>
          <w:szCs w:val="24"/>
          <w:lang w:eastAsia="x-none"/>
        </w:rPr>
        <w:t>Stalco</w:t>
      </w:r>
      <w:proofErr w:type="spellEnd"/>
      <w:r w:rsidRPr="0044619A">
        <w:rPr>
          <w:rFonts w:ascii="Arial" w:hAnsi="Arial" w:cs="Arial"/>
          <w:bCs/>
          <w:szCs w:val="24"/>
          <w:lang w:eastAsia="x-none"/>
        </w:rPr>
        <w:t xml:space="preserve">, </w:t>
      </w:r>
    </w:p>
    <w:p w14:paraId="42894471"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Szczypce do cięcia i łamania glazury, </w:t>
      </w:r>
      <w:proofErr w:type="spellStart"/>
      <w:r w:rsidRPr="0044619A">
        <w:rPr>
          <w:rFonts w:ascii="Arial" w:hAnsi="Arial" w:cs="Arial"/>
          <w:bCs/>
          <w:szCs w:val="24"/>
          <w:lang w:eastAsia="x-none"/>
        </w:rPr>
        <w:t>Ega</w:t>
      </w:r>
      <w:proofErr w:type="spellEnd"/>
      <w:r w:rsidRPr="0044619A">
        <w:rPr>
          <w:rFonts w:ascii="Arial" w:hAnsi="Arial" w:cs="Arial"/>
          <w:bCs/>
          <w:szCs w:val="24"/>
          <w:lang w:eastAsia="x-none"/>
        </w:rPr>
        <w:t xml:space="preserve"> Sp. z o.o., Sp.k., </w:t>
      </w:r>
    </w:p>
    <w:p w14:paraId="271378B2"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lastRenderedPageBreak/>
        <w:t xml:space="preserve">Nożyce do blachy proste, 225 mm, </w:t>
      </w:r>
      <w:proofErr w:type="spellStart"/>
      <w:r w:rsidRPr="0044619A">
        <w:rPr>
          <w:rFonts w:ascii="Arial" w:hAnsi="Arial" w:cs="Arial"/>
          <w:bCs/>
          <w:szCs w:val="24"/>
          <w:lang w:eastAsia="x-none"/>
        </w:rPr>
        <w:t>Faster</w:t>
      </w:r>
      <w:proofErr w:type="spellEnd"/>
      <w:r w:rsidRPr="0044619A">
        <w:rPr>
          <w:rFonts w:ascii="Arial" w:hAnsi="Arial" w:cs="Arial"/>
          <w:bCs/>
          <w:szCs w:val="24"/>
          <w:lang w:eastAsia="x-none"/>
        </w:rPr>
        <w:t xml:space="preserve"> Tools, </w:t>
      </w:r>
      <w:proofErr w:type="spellStart"/>
      <w:r w:rsidRPr="0044619A">
        <w:rPr>
          <w:rFonts w:ascii="Arial" w:hAnsi="Arial" w:cs="Arial"/>
          <w:bCs/>
          <w:szCs w:val="24"/>
          <w:lang w:eastAsia="x-none"/>
        </w:rPr>
        <w:t>Ega</w:t>
      </w:r>
      <w:proofErr w:type="spellEnd"/>
      <w:r w:rsidRPr="0044619A">
        <w:rPr>
          <w:rFonts w:ascii="Arial" w:hAnsi="Arial" w:cs="Arial"/>
          <w:bCs/>
          <w:szCs w:val="24"/>
          <w:lang w:eastAsia="x-none"/>
        </w:rPr>
        <w:t xml:space="preserve"> Sp. </w:t>
      </w:r>
      <w:proofErr w:type="spellStart"/>
      <w:r w:rsidRPr="0044619A">
        <w:rPr>
          <w:rFonts w:ascii="Arial" w:hAnsi="Arial" w:cs="Arial"/>
          <w:bCs/>
          <w:szCs w:val="24"/>
          <w:lang w:eastAsia="x-none"/>
        </w:rPr>
        <w:t>zo.o</w:t>
      </w:r>
      <w:proofErr w:type="spellEnd"/>
      <w:r w:rsidRPr="0044619A">
        <w:rPr>
          <w:rFonts w:ascii="Arial" w:hAnsi="Arial" w:cs="Arial"/>
          <w:bCs/>
          <w:szCs w:val="24"/>
          <w:lang w:eastAsia="x-none"/>
        </w:rPr>
        <w:t>. Sp.k.,</w:t>
      </w:r>
    </w:p>
    <w:p w14:paraId="310A0FBE"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Tarcza diamentowa 125 mm </w:t>
      </w:r>
      <w:proofErr w:type="spellStart"/>
      <w:r w:rsidRPr="0044619A">
        <w:rPr>
          <w:rFonts w:ascii="Arial" w:hAnsi="Arial" w:cs="Arial"/>
          <w:bCs/>
          <w:szCs w:val="24"/>
          <w:lang w:eastAsia="x-none"/>
        </w:rPr>
        <w:t>Jobi</w:t>
      </w:r>
      <w:proofErr w:type="spellEnd"/>
      <w:r w:rsidRPr="0044619A">
        <w:rPr>
          <w:rFonts w:ascii="Arial" w:hAnsi="Arial" w:cs="Arial"/>
          <w:bCs/>
          <w:szCs w:val="24"/>
          <w:lang w:eastAsia="x-none"/>
        </w:rPr>
        <w:t xml:space="preserve">, Firma Wektory Józef Białek, </w:t>
      </w:r>
    </w:p>
    <w:p w14:paraId="6A0AC603"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Automatyczne szczypce do izolacji, Pro Sp. z o.o., </w:t>
      </w:r>
    </w:p>
    <w:p w14:paraId="3A5B40B3"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Wycinak otworów (wycinak do glazury) 20-100 mm, </w:t>
      </w:r>
      <w:proofErr w:type="spellStart"/>
      <w:r w:rsidRPr="0044619A">
        <w:rPr>
          <w:rFonts w:ascii="Arial" w:hAnsi="Arial" w:cs="Arial"/>
          <w:bCs/>
          <w:szCs w:val="24"/>
          <w:lang w:eastAsia="x-none"/>
        </w:rPr>
        <w:t>Ega</w:t>
      </w:r>
      <w:proofErr w:type="spellEnd"/>
      <w:r w:rsidRPr="0044619A">
        <w:rPr>
          <w:rFonts w:ascii="Arial" w:hAnsi="Arial" w:cs="Arial"/>
          <w:bCs/>
          <w:szCs w:val="24"/>
          <w:lang w:eastAsia="x-none"/>
        </w:rPr>
        <w:t xml:space="preserve"> Sp. z o.o., Sp. k.,</w:t>
      </w:r>
    </w:p>
    <w:p w14:paraId="59CDE42C"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Wiertło diamentowa Ø 6 mm, S-71001, </w:t>
      </w:r>
      <w:proofErr w:type="spellStart"/>
      <w:r w:rsidRPr="0044619A">
        <w:rPr>
          <w:rFonts w:ascii="Arial" w:hAnsi="Arial" w:cs="Arial"/>
          <w:bCs/>
          <w:szCs w:val="24"/>
          <w:lang w:eastAsia="x-none"/>
        </w:rPr>
        <w:t>Stalco</w:t>
      </w:r>
      <w:proofErr w:type="spellEnd"/>
      <w:r w:rsidRPr="0044619A">
        <w:rPr>
          <w:rFonts w:ascii="Arial" w:hAnsi="Arial" w:cs="Arial"/>
          <w:bCs/>
          <w:szCs w:val="24"/>
          <w:lang w:eastAsia="x-none"/>
        </w:rPr>
        <w:t xml:space="preserve">, </w:t>
      </w:r>
    </w:p>
    <w:p w14:paraId="4AB76152"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Otwornica diamentowa Ø 35 mm, S-28435, </w:t>
      </w:r>
      <w:proofErr w:type="spellStart"/>
      <w:r w:rsidRPr="0044619A">
        <w:rPr>
          <w:rFonts w:ascii="Arial" w:hAnsi="Arial" w:cs="Arial"/>
          <w:bCs/>
          <w:szCs w:val="24"/>
          <w:lang w:eastAsia="x-none"/>
        </w:rPr>
        <w:t>Stalco</w:t>
      </w:r>
      <w:proofErr w:type="spellEnd"/>
      <w:r w:rsidRPr="0044619A">
        <w:rPr>
          <w:rFonts w:ascii="Arial" w:hAnsi="Arial" w:cs="Arial"/>
          <w:bCs/>
          <w:szCs w:val="24"/>
          <w:lang w:eastAsia="x-none"/>
        </w:rPr>
        <w:t>,</w:t>
      </w:r>
    </w:p>
    <w:p w14:paraId="781D71DC"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Listwa maskująco- wykończająca z uszczelką 330 cm x 3,8 cm, PPH </w:t>
      </w:r>
      <w:proofErr w:type="spellStart"/>
      <w:r w:rsidRPr="0044619A">
        <w:rPr>
          <w:rFonts w:ascii="Arial" w:hAnsi="Arial" w:cs="Arial"/>
          <w:bCs/>
          <w:szCs w:val="24"/>
          <w:lang w:eastAsia="x-none"/>
        </w:rPr>
        <w:t>Prowis</w:t>
      </w:r>
      <w:proofErr w:type="spellEnd"/>
      <w:r w:rsidRPr="0044619A">
        <w:rPr>
          <w:rFonts w:ascii="Arial" w:hAnsi="Arial" w:cs="Arial"/>
          <w:bCs/>
          <w:szCs w:val="24"/>
          <w:lang w:eastAsia="x-none"/>
        </w:rPr>
        <w:t xml:space="preserve"> Biz, </w:t>
      </w:r>
    </w:p>
    <w:p w14:paraId="1CA5F46B"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Opaski zaciskowe czarne, 100 sztuk, 3,6/200 mm, </w:t>
      </w:r>
      <w:proofErr w:type="spellStart"/>
      <w:r w:rsidRPr="0044619A">
        <w:rPr>
          <w:rFonts w:ascii="Arial" w:hAnsi="Arial" w:cs="Arial"/>
          <w:bCs/>
          <w:szCs w:val="24"/>
          <w:lang w:eastAsia="x-none"/>
        </w:rPr>
        <w:t>Stalco</w:t>
      </w:r>
      <w:proofErr w:type="spellEnd"/>
      <w:r w:rsidRPr="0044619A">
        <w:rPr>
          <w:rFonts w:ascii="Arial" w:hAnsi="Arial" w:cs="Arial"/>
          <w:bCs/>
          <w:szCs w:val="24"/>
          <w:lang w:eastAsia="x-none"/>
        </w:rPr>
        <w:t xml:space="preserve">, </w:t>
      </w:r>
    </w:p>
    <w:p w14:paraId="259E6B23"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Pistolet do kleju 30 W, 7 mm, Pro Sp. z o.o., </w:t>
      </w:r>
    </w:p>
    <w:p w14:paraId="4980F561"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 xml:space="preserve">Wyciskacz do gęstych mas, BW-08, Pro Sp. z o.o., </w:t>
      </w:r>
    </w:p>
    <w:p w14:paraId="73527801" w14:textId="77777777" w:rsidR="0044619A" w:rsidRPr="0044619A" w:rsidRDefault="0044619A">
      <w:pPr>
        <w:pStyle w:val="Akapitzlist"/>
        <w:numPr>
          <w:ilvl w:val="0"/>
          <w:numId w:val="5"/>
        </w:numPr>
        <w:spacing w:before="120" w:line="360" w:lineRule="auto"/>
        <w:rPr>
          <w:rFonts w:ascii="Arial" w:hAnsi="Arial" w:cs="Arial"/>
          <w:bCs/>
          <w:szCs w:val="24"/>
          <w:lang w:eastAsia="x-none"/>
        </w:rPr>
      </w:pPr>
      <w:r w:rsidRPr="0044619A">
        <w:rPr>
          <w:rFonts w:ascii="Arial" w:hAnsi="Arial" w:cs="Arial"/>
          <w:bCs/>
          <w:szCs w:val="24"/>
          <w:lang w:eastAsia="x-none"/>
        </w:rPr>
        <w:t>Piła płatnica 450 mm, 11T/12P,Pro Sp. z o.o.,</w:t>
      </w:r>
    </w:p>
    <w:p w14:paraId="3DD2C28A" w14:textId="426BA572" w:rsidR="0044619A" w:rsidRPr="0044619A" w:rsidRDefault="0044619A" w:rsidP="0044619A">
      <w:pPr>
        <w:spacing w:before="120" w:line="360" w:lineRule="auto"/>
        <w:rPr>
          <w:rFonts w:ascii="Arial" w:hAnsi="Arial" w:cs="Arial"/>
          <w:bCs/>
          <w:szCs w:val="24"/>
          <w:lang w:eastAsia="x-none"/>
        </w:rPr>
      </w:pPr>
      <w:r w:rsidRPr="0044619A">
        <w:rPr>
          <w:rFonts w:ascii="Arial" w:hAnsi="Arial" w:cs="Arial"/>
          <w:bCs/>
          <w:szCs w:val="24"/>
          <w:lang w:eastAsia="x-none"/>
        </w:rPr>
        <w:t>co narusza przepisy art. 4 ust. 1 ustawy oraz § 3 rozporządzenia Ministra Rozwoju z dnia</w:t>
      </w:r>
      <w:r w:rsidRPr="0044619A">
        <w:rPr>
          <w:rFonts w:ascii="Arial" w:hAnsi="Arial" w:cs="Arial"/>
          <w:lang w:eastAsia="x-none"/>
        </w:rPr>
        <w:t xml:space="preserve"> </w:t>
      </w:r>
      <w:r w:rsidRPr="0044619A">
        <w:rPr>
          <w:rFonts w:ascii="Arial" w:hAnsi="Arial" w:cs="Arial"/>
          <w:bCs/>
          <w:szCs w:val="24"/>
          <w:lang w:eastAsia="x-none"/>
        </w:rPr>
        <w:t>9 grudnia 2015 r. w sprawie uwidaczniania cen towarów i usług (tekst jednolity: Dz. U.</w:t>
      </w:r>
      <w:r w:rsidRPr="0044619A">
        <w:rPr>
          <w:rFonts w:ascii="Arial" w:hAnsi="Arial" w:cs="Arial"/>
          <w:lang w:eastAsia="x-none"/>
        </w:rPr>
        <w:t xml:space="preserve"> </w:t>
      </w:r>
      <w:r w:rsidRPr="0044619A">
        <w:rPr>
          <w:rFonts w:ascii="Arial" w:hAnsi="Arial" w:cs="Arial"/>
          <w:bCs/>
          <w:szCs w:val="24"/>
          <w:lang w:eastAsia="x-none"/>
        </w:rPr>
        <w:t>z 2015 r. poz. 2121) – zwanego dalej rozporządzeniem;</w:t>
      </w:r>
    </w:p>
    <w:p w14:paraId="597DEB7E" w14:textId="77777777" w:rsidR="0044619A" w:rsidRPr="0044619A" w:rsidRDefault="0044619A" w:rsidP="0044619A">
      <w:pPr>
        <w:spacing w:before="120" w:line="360" w:lineRule="auto"/>
        <w:rPr>
          <w:rFonts w:ascii="Arial" w:hAnsi="Arial" w:cs="Arial"/>
          <w:bCs/>
          <w:szCs w:val="24"/>
          <w:lang w:eastAsia="x-none"/>
        </w:rPr>
      </w:pPr>
      <w:r w:rsidRPr="0044619A">
        <w:rPr>
          <w:rFonts w:ascii="Arial" w:hAnsi="Arial" w:cs="Arial"/>
          <w:bCs/>
          <w:szCs w:val="24"/>
          <w:lang w:eastAsia="x-none"/>
        </w:rPr>
        <w:t xml:space="preserve">Powyższe ustalenia udokumentowano w protokole kontroli DK.8361.41.2022 z dnia 9 maja 2022 r. wraz z załącznikami. </w:t>
      </w:r>
    </w:p>
    <w:p w14:paraId="4EC025ED" w14:textId="7F85F9F4" w:rsidR="0044619A" w:rsidRPr="0044619A" w:rsidRDefault="0044619A" w:rsidP="0044619A">
      <w:pPr>
        <w:pStyle w:val="Nagwek3"/>
        <w:spacing w:before="120"/>
        <w:rPr>
          <w:lang w:eastAsia="x-none"/>
        </w:rPr>
      </w:pPr>
      <w:r w:rsidRPr="0044619A">
        <w:rPr>
          <w:lang w:eastAsia="x-none"/>
        </w:rPr>
        <w:t>W związku z ustaleniami kontroli, pismem z dnia 7 czerwca 2022 r. Podkarpacki Wojewódzki Inspektor Inspekcji Handlowej zawiadomił strony o wszczęciu z urzędu postępowania</w:t>
      </w:r>
      <w:r w:rsidRPr="0044619A">
        <w:rPr>
          <w:lang w:eastAsia="x-none"/>
        </w:rPr>
        <w:t xml:space="preserve"> </w:t>
      </w:r>
      <w:r w:rsidRPr="0044619A">
        <w:rPr>
          <w:lang w:eastAsia="x-none"/>
        </w:rPr>
        <w:t>w sprawie wymierzenia kary pieniężnej w trybie art. 6 ust. 1 ustawy, w związku ze stwierdzeniem nieprawidłowości w uwidacznianiu cen. Jednocześnie stronę postępowania pouczono o przysługującym jej prawie do czynnego udziału w postępowaniu,</w:t>
      </w:r>
      <w:r w:rsidRPr="0044619A">
        <w:rPr>
          <w:lang w:eastAsia="x-none"/>
        </w:rPr>
        <w:t xml:space="preserve"> </w:t>
      </w:r>
      <w:r w:rsidRPr="0044619A">
        <w:rPr>
          <w:lang w:eastAsia="x-none"/>
        </w:rPr>
        <w:t xml:space="preserve">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4111ACA1" w14:textId="2AF72DAA" w:rsidR="00F64E33" w:rsidRPr="0044619A" w:rsidRDefault="0044619A" w:rsidP="0044619A">
      <w:pPr>
        <w:pStyle w:val="Nagwek3"/>
        <w:spacing w:before="120"/>
        <w:rPr>
          <w:bCs w:val="0"/>
        </w:rPr>
      </w:pPr>
      <w:r w:rsidRPr="0044619A">
        <w:rPr>
          <w:lang w:eastAsia="x-none"/>
        </w:rPr>
        <w:t xml:space="preserve">Pismem z dnia 9 czerwca 2022 r. przedsiębiorca poinformował, że w trakcie kontroli brakujące oznaczenia cenowe zostały uzupełnione a stwierdzone uchybienia wynikały z faktu, że klienci w trakcie dokonywanych zakupów są na bieżąco informowani o aktualnych i obowiązujących cenach danych produktów. Jednocześnie, zwrócił uwagę na </w:t>
      </w:r>
      <w:r w:rsidRPr="0044619A">
        <w:rPr>
          <w:b/>
          <w:lang w:eastAsia="x-none"/>
        </w:rPr>
        <w:t xml:space="preserve">(dane zanonimizowane) </w:t>
      </w:r>
      <w:r w:rsidRPr="0044619A">
        <w:rPr>
          <w:lang w:eastAsia="x-none"/>
        </w:rPr>
        <w:t>firmy</w:t>
      </w:r>
      <w:r w:rsidRPr="0044619A">
        <w:rPr>
          <w:lang w:eastAsia="x-none"/>
        </w:rPr>
        <w:t xml:space="preserve"> </w:t>
      </w:r>
      <w:r w:rsidRPr="0044619A">
        <w:rPr>
          <w:lang w:eastAsia="x-none"/>
        </w:rPr>
        <w:t xml:space="preserve">oraz </w:t>
      </w:r>
      <w:r w:rsidRPr="0044619A">
        <w:rPr>
          <w:b/>
          <w:lang w:eastAsia="x-none"/>
        </w:rPr>
        <w:t xml:space="preserve">(dane zanonimizowane) </w:t>
      </w:r>
      <w:r w:rsidRPr="0044619A">
        <w:rPr>
          <w:lang w:eastAsia="x-none"/>
        </w:rPr>
        <w:t xml:space="preserve">związane z okresem pandemii COVID-19 oraz toczącym się konfliktem zbrojnym na Ukrainie. W wymienionym piśmie kontrolowany zwrócił się do </w:t>
      </w:r>
      <w:r w:rsidRPr="0044619A">
        <w:rPr>
          <w:lang w:eastAsia="x-none"/>
        </w:rPr>
        <w:lastRenderedPageBreak/>
        <w:t>organu o wymierzenie najniższej możliwej kary pieniężnej bądź też zaniechanie jej wymierzenia, dołączając informacje wskazujące na wielkość przychodu oraz dochód osiągnięty w 2021 roku</w:t>
      </w:r>
      <w:r w:rsidR="00F64E33" w:rsidRPr="0044619A">
        <w:rPr>
          <w:bCs w:val="0"/>
        </w:rPr>
        <w:t>.</w:t>
      </w:r>
    </w:p>
    <w:p w14:paraId="048832BA" w14:textId="1D7C2403" w:rsidR="00A96E78" w:rsidRPr="0044619A" w:rsidRDefault="00F64E33" w:rsidP="006F1881">
      <w:pPr>
        <w:pStyle w:val="Nagwek2"/>
      </w:pPr>
      <w:r w:rsidRPr="0044619A">
        <w:t>Podkarpacki Wojewódzki Inspektor Inspekcji Handlowej ustalił i stwierdził, co następuje</w:t>
      </w:r>
      <w:r w:rsidR="0051739C" w:rsidRPr="0044619A">
        <w:t>:</w:t>
      </w:r>
    </w:p>
    <w:p w14:paraId="4F82614E" w14:textId="6AD8BFE1" w:rsidR="0044619A" w:rsidRPr="0044619A" w:rsidRDefault="0057018B" w:rsidP="0044619A">
      <w:pPr>
        <w:pStyle w:val="Nagwek3"/>
        <w:spacing w:before="120"/>
        <w:rPr>
          <w:szCs w:val="28"/>
        </w:rPr>
      </w:pPr>
      <w:r w:rsidRPr="0044619A">
        <w:rPr>
          <w:bCs w:val="0"/>
          <w:szCs w:val="28"/>
        </w:rPr>
        <w:t xml:space="preserve">Zgodnie </w:t>
      </w:r>
      <w:r w:rsidR="0044619A" w:rsidRPr="0044619A">
        <w:rPr>
          <w:szCs w:val="28"/>
        </w:rPr>
        <w:t>z art. 6 ust. 1 ustawy, karę pieniężną na przedsiębiorcę, który nie wykonuje obowiązku uwidaczniania cen w miejscu świadczenia usług nakłada wojewódzki inspektor Inspekcji Handlowej. W związku z tym, że naruszenie miało miejsce w sklepie zlokalizowanym</w:t>
      </w:r>
      <w:r w:rsidR="0044619A" w:rsidRPr="0044619A">
        <w:rPr>
          <w:szCs w:val="28"/>
        </w:rPr>
        <w:t xml:space="preserve"> </w:t>
      </w:r>
      <w:r w:rsidR="0044619A" w:rsidRPr="0044619A">
        <w:rPr>
          <w:szCs w:val="28"/>
        </w:rPr>
        <w:t>w Cergowej (woj. podkarpackie), właściwym do prowadzenia postępowania i nałożenia kary jest Podkarpacki Wojewódzki Inspektor Inspekcji Handlowej.</w:t>
      </w:r>
    </w:p>
    <w:p w14:paraId="57DBD8DB" w14:textId="701E043F"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Przedsiębiorcą, zgodnie z art. 4 ust. 1 ustawy z dnia 6 marca 2018 r. Prawo przedsiębiorców (tekst jednolity: Dz. U. z 2021 r., poz. 162 ze zm.) jest osoba fizyczna, osoba prawna</w:t>
      </w:r>
      <w:r w:rsidRPr="0044619A">
        <w:rPr>
          <w:rFonts w:ascii="Arial" w:hAnsi="Arial" w:cs="Arial"/>
          <w:szCs w:val="28"/>
        </w:rPr>
        <w:t xml:space="preserve"> </w:t>
      </w:r>
      <w:r w:rsidRPr="0044619A">
        <w:rPr>
          <w:rFonts w:ascii="Arial" w:hAnsi="Arial" w:cs="Arial"/>
          <w:bCs/>
          <w:szCs w:val="28"/>
        </w:rPr>
        <w:t>lub jednostka organizacyjna niebędąca osobą prawną, której odrębna ustawa przyznaje zdolność prawną – wykonująca działalność gospodarczą.</w:t>
      </w:r>
    </w:p>
    <w:p w14:paraId="281B3C80"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37ECC667" w14:textId="21AE1BCF"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Pr="0044619A">
        <w:rPr>
          <w:rFonts w:ascii="Arial" w:hAnsi="Arial" w:cs="Arial"/>
          <w:szCs w:val="28"/>
        </w:rPr>
        <w:t xml:space="preserve"> </w:t>
      </w:r>
      <w:r w:rsidRPr="0044619A">
        <w:rPr>
          <w:rFonts w:ascii="Arial" w:hAnsi="Arial" w:cs="Arial"/>
          <w:bCs/>
          <w:szCs w:val="28"/>
        </w:rPr>
        <w:t>o miarach (art. 3 ust. 1 pkt 2 ustawy).</w:t>
      </w:r>
    </w:p>
    <w:p w14:paraId="11843756" w14:textId="1A874C2A"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Zgodnie z § 3 ust. 2 cenę jednostkową uwidacznia się w szczególności na wywieszce,</w:t>
      </w:r>
      <w:r w:rsidRPr="0044619A">
        <w:rPr>
          <w:rFonts w:ascii="Arial" w:hAnsi="Arial" w:cs="Arial"/>
          <w:szCs w:val="28"/>
        </w:rPr>
        <w:t xml:space="preserve"> </w:t>
      </w:r>
      <w:r w:rsidRPr="0044619A">
        <w:rPr>
          <w:rFonts w:ascii="Arial" w:hAnsi="Arial" w:cs="Arial"/>
          <w:bCs/>
          <w:szCs w:val="28"/>
        </w:rPr>
        <w:t xml:space="preserve">w cenniku, w katalogu, na obwolucie, w postaci nadruku lub napisu na towarze lub opakowaniu. </w:t>
      </w:r>
    </w:p>
    <w:p w14:paraId="184B9086" w14:textId="0CA8EFEE"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 3 ust. 1 rozporządzenia określa, że cenę uwidacznia się w miejscu ogólnodostępnym</w:t>
      </w:r>
      <w:r w:rsidRPr="0044619A">
        <w:rPr>
          <w:rFonts w:ascii="Arial" w:hAnsi="Arial" w:cs="Arial"/>
          <w:szCs w:val="28"/>
        </w:rPr>
        <w:t xml:space="preserve"> </w:t>
      </w:r>
      <w:r w:rsidRPr="0044619A">
        <w:rPr>
          <w:rFonts w:ascii="Arial" w:hAnsi="Arial" w:cs="Arial"/>
          <w:bCs/>
          <w:szCs w:val="28"/>
        </w:rPr>
        <w:t>i dobrze widocznym dla konsumentów, na danym towarze, bezpośrednio przy towarze lub</w:t>
      </w:r>
      <w:r w:rsidRPr="0044619A">
        <w:rPr>
          <w:rFonts w:ascii="Arial" w:hAnsi="Arial" w:cs="Arial"/>
          <w:szCs w:val="28"/>
        </w:rPr>
        <w:t xml:space="preserve"> </w:t>
      </w:r>
      <w:r w:rsidRPr="0044619A">
        <w:rPr>
          <w:rFonts w:ascii="Arial" w:hAnsi="Arial" w:cs="Arial"/>
          <w:bCs/>
          <w:szCs w:val="28"/>
        </w:rPr>
        <w:t xml:space="preserve">w bliskości towaru, którego dotyczy. </w:t>
      </w:r>
    </w:p>
    <w:p w14:paraId="25F41396"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lastRenderedPageBreak/>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1FA03018" w14:textId="25310725"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Nie wymaga się uwidocznienia ceny jednostkowej określonego towaru m.in. wtedy, gdy jest ona identyczna z ceną sprzedaży tego towaru lub dotyczy towarów sprzedawanych</w:t>
      </w:r>
      <w:r w:rsidRPr="0044619A">
        <w:rPr>
          <w:rFonts w:ascii="Arial" w:hAnsi="Arial" w:cs="Arial"/>
          <w:szCs w:val="28"/>
        </w:rPr>
        <w:t xml:space="preserve"> </w:t>
      </w:r>
      <w:r w:rsidRPr="0044619A">
        <w:rPr>
          <w:rFonts w:ascii="Arial" w:hAnsi="Arial" w:cs="Arial"/>
          <w:bCs/>
          <w:szCs w:val="28"/>
        </w:rPr>
        <w:t>ze względu na ich przeznaczenie w zestawach (kompletach) lub towarów nieżywnościowych sprzedawanych ze względu na ich przeznaczenie lub właściwości wyłącznie w parach</w:t>
      </w:r>
      <w:r w:rsidRPr="0044619A">
        <w:rPr>
          <w:rFonts w:ascii="Arial" w:hAnsi="Arial" w:cs="Arial"/>
          <w:szCs w:val="28"/>
        </w:rPr>
        <w:t xml:space="preserve"> </w:t>
      </w:r>
      <w:r w:rsidRPr="0044619A">
        <w:rPr>
          <w:rFonts w:ascii="Arial" w:hAnsi="Arial" w:cs="Arial"/>
          <w:bCs/>
          <w:szCs w:val="28"/>
        </w:rPr>
        <w:t xml:space="preserve">(§ 7 ust. 1 rozporządzenia). </w:t>
      </w:r>
    </w:p>
    <w:p w14:paraId="5F61D0F3" w14:textId="4C503F38"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Zgodnie z art. 6 ust. 1 ustawy, jeżeli przedsiębiorca nie wykonuje obowiązków,</w:t>
      </w:r>
      <w:r w:rsidRPr="0044619A">
        <w:rPr>
          <w:rFonts w:ascii="Arial" w:hAnsi="Arial" w:cs="Arial"/>
          <w:szCs w:val="28"/>
        </w:rPr>
        <w:t xml:space="preserve"> </w:t>
      </w:r>
      <w:r w:rsidRPr="0044619A">
        <w:rPr>
          <w:rFonts w:ascii="Arial" w:hAnsi="Arial" w:cs="Arial"/>
          <w:bCs/>
          <w:szCs w:val="28"/>
        </w:rPr>
        <w:t>o których mowa w art. 4 ustawy, wojewódzki inspektor Inspekcji Handlowej nakłada</w:t>
      </w:r>
      <w:r w:rsidRPr="0044619A">
        <w:rPr>
          <w:rFonts w:ascii="Arial" w:hAnsi="Arial" w:cs="Arial"/>
          <w:szCs w:val="28"/>
        </w:rPr>
        <w:t xml:space="preserve"> </w:t>
      </w:r>
      <w:r w:rsidRPr="0044619A">
        <w:rPr>
          <w:rFonts w:ascii="Arial" w:hAnsi="Arial" w:cs="Arial"/>
          <w:bCs/>
          <w:szCs w:val="28"/>
        </w:rP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4699D803" w14:textId="463D9C11"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Pr="0044619A">
        <w:rPr>
          <w:rFonts w:ascii="Arial" w:hAnsi="Arial" w:cs="Arial"/>
          <w:szCs w:val="28"/>
        </w:rPr>
        <w:t xml:space="preserve"> </w:t>
      </w:r>
      <w:r w:rsidRPr="0044619A">
        <w:rPr>
          <w:rFonts w:ascii="Arial" w:hAnsi="Arial" w:cs="Arial"/>
          <w:bCs/>
          <w:szCs w:val="28"/>
        </w:rPr>
        <w:t>i przychodu.</w:t>
      </w:r>
    </w:p>
    <w:p w14:paraId="1700CDD9" w14:textId="77777777" w:rsidR="0044619A" w:rsidRPr="0044619A" w:rsidRDefault="0044619A" w:rsidP="0044619A">
      <w:pPr>
        <w:pStyle w:val="Nagwek3"/>
        <w:spacing w:before="120"/>
        <w:rPr>
          <w:szCs w:val="28"/>
        </w:rPr>
      </w:pPr>
      <w:r w:rsidRPr="0044619A">
        <w:rPr>
          <w:szCs w:val="28"/>
        </w:rPr>
        <w:t xml:space="preserve">W przedmiotowej sprawie, w trakcie kontroli przeprowadzonej w miejscu sprzedaży detalicznej – sklepie z artykułami przemysłowymi „BUDO-HURT”, Cergowa </w:t>
      </w:r>
      <w:r w:rsidRPr="0044619A">
        <w:rPr>
          <w:b/>
          <w:szCs w:val="28"/>
        </w:rPr>
        <w:t>(dane zanonimizowane)</w:t>
      </w:r>
      <w:r w:rsidRPr="0044619A">
        <w:rPr>
          <w:szCs w:val="28"/>
        </w:rPr>
        <w:t xml:space="preserve"> Dukla, inspektorzy z Wojewódzkiego Inspektoratu Inspekcji Handlowej w Rzeszowie Delegatura w Krośnie stwierdzili, że przedsiębiorcy prowadzący działalność gospodarczą w ramach prowadzonej spółki, nie wykonali ciążących na nich obowiązków wynikających z art. 4 ust. 1 ustawy dotyczących </w:t>
      </w:r>
      <w:r w:rsidRPr="0044619A">
        <w:rPr>
          <w:szCs w:val="28"/>
        </w:rPr>
        <w:lastRenderedPageBreak/>
        <w:t>uwidocznienia ceny na towarze, bezpośrednio przy towarze lub w bliskości towaru dla 21 partii produktów.</w:t>
      </w:r>
    </w:p>
    <w:p w14:paraId="14E5C0BF"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 xml:space="preserve">W związku z powyższym spełnione zostały przesłanki do nałożenia przez Podkarpackiego Wojewódzkiego Inspektora Inspekcji Handlowej na przedsiębiorców kary pieniężnej przewidzianej w art. 6 ust. 1 ustawy. W powyższej sprawie Podkarpacki Wojewódzki Inspektor Inspekcji Handlowej wymierzył kontrolowanym karę pieniężną w wysokości </w:t>
      </w:r>
      <w:r w:rsidRPr="0044619A">
        <w:rPr>
          <w:rFonts w:ascii="Arial" w:hAnsi="Arial" w:cs="Arial"/>
          <w:b/>
          <w:bCs/>
          <w:szCs w:val="28"/>
        </w:rPr>
        <w:t>500 zł</w:t>
      </w:r>
      <w:r w:rsidRPr="0044619A">
        <w:rPr>
          <w:rFonts w:ascii="Arial" w:hAnsi="Arial" w:cs="Arial"/>
          <w:bCs/>
          <w:szCs w:val="28"/>
        </w:rPr>
        <w:t xml:space="preserve">. </w:t>
      </w:r>
    </w:p>
    <w:p w14:paraId="4D201ABB" w14:textId="73BED24F"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W ocenie tutejszego organu Inspekcji wagi naruszenia prawa przez stronę nie można uznać</w:t>
      </w:r>
      <w:r w:rsidRPr="0044619A">
        <w:rPr>
          <w:rFonts w:ascii="Arial" w:hAnsi="Arial" w:cs="Arial"/>
          <w:szCs w:val="28"/>
        </w:rPr>
        <w:t xml:space="preserve"> </w:t>
      </w:r>
      <w:r w:rsidRPr="0044619A">
        <w:rPr>
          <w:rFonts w:ascii="Arial" w:hAnsi="Arial" w:cs="Arial"/>
          <w:bCs/>
          <w:szCs w:val="28"/>
        </w:rPr>
        <w:t xml:space="preserve">za znikomą, gdyż </w:t>
      </w:r>
      <w:r w:rsidRPr="0044619A">
        <w:rPr>
          <w:rFonts w:ascii="Arial" w:hAnsi="Arial" w:cs="Arial"/>
          <w:b/>
          <w:bCs/>
          <w:szCs w:val="28"/>
        </w:rPr>
        <w:t>nieuwidocznienie ceny dla 21 partii</w:t>
      </w:r>
      <w:r w:rsidRPr="0044619A">
        <w:rPr>
          <w:rFonts w:ascii="Arial" w:hAnsi="Arial" w:cs="Arial"/>
          <w:bCs/>
          <w:szCs w:val="28"/>
        </w:rPr>
        <w:t xml:space="preserve"> produktów spośród </w:t>
      </w:r>
      <w:r w:rsidRPr="0044619A">
        <w:rPr>
          <w:rFonts w:ascii="Arial" w:hAnsi="Arial" w:cs="Arial"/>
          <w:b/>
          <w:bCs/>
          <w:szCs w:val="28"/>
        </w:rPr>
        <w:t>124</w:t>
      </w:r>
      <w:r w:rsidRPr="0044619A">
        <w:rPr>
          <w:rFonts w:ascii="Arial" w:hAnsi="Arial" w:cs="Arial"/>
          <w:bCs/>
          <w:szCs w:val="28"/>
        </w:rPr>
        <w:t xml:space="preserve"> sprawdzonych produktów, stanowi zagrożenie dla interesów majątkowych klientów strony.</w:t>
      </w:r>
      <w:r w:rsidRPr="0044619A">
        <w:rPr>
          <w:rFonts w:ascii="Arial" w:hAnsi="Arial" w:cs="Arial"/>
          <w:b/>
          <w:bCs/>
          <w:szCs w:val="28"/>
        </w:rPr>
        <w:t xml:space="preserve"> </w:t>
      </w:r>
    </w:p>
    <w:p w14:paraId="63AE4C60" w14:textId="77777777" w:rsidR="0044619A" w:rsidRPr="0044619A" w:rsidRDefault="0044619A" w:rsidP="0044619A">
      <w:pPr>
        <w:pStyle w:val="Nagwek3"/>
        <w:spacing w:before="120"/>
        <w:rPr>
          <w:bCs w:val="0"/>
          <w:szCs w:val="28"/>
        </w:rPr>
      </w:pPr>
      <w:r w:rsidRPr="0044619A">
        <w:rPr>
          <w:bCs w:val="0"/>
          <w:szCs w:val="28"/>
        </w:rPr>
        <w:t>Wymierzając ją wziął pod uwagę, zgodnie z art. 6 ust. 3 ustawy:</w:t>
      </w:r>
    </w:p>
    <w:p w14:paraId="30B4F3EA" w14:textId="0D9FF576" w:rsidR="0044619A" w:rsidRPr="0044619A" w:rsidRDefault="0044619A">
      <w:pPr>
        <w:pStyle w:val="Akapitzlist"/>
        <w:numPr>
          <w:ilvl w:val="0"/>
          <w:numId w:val="6"/>
        </w:numPr>
        <w:spacing w:before="120" w:line="360" w:lineRule="auto"/>
        <w:rPr>
          <w:rFonts w:ascii="Arial" w:hAnsi="Arial" w:cs="Arial"/>
          <w:bCs/>
          <w:szCs w:val="28"/>
        </w:rPr>
      </w:pPr>
      <w:r w:rsidRPr="0044619A">
        <w:rPr>
          <w:rFonts w:ascii="Arial" w:hAnsi="Arial" w:cs="Arial"/>
          <w:b/>
          <w:bCs/>
          <w:szCs w:val="28"/>
        </w:rPr>
        <w:t>stopień naruszenia</w:t>
      </w:r>
      <w:r w:rsidRPr="0044619A">
        <w:rPr>
          <w:rFonts w:ascii="Arial" w:hAnsi="Arial" w:cs="Arial"/>
          <w:bCs/>
          <w:szCs w:val="28"/>
        </w:rPr>
        <w:t xml:space="preserve"> obowiązków – naruszenie obowiązków stwierdzono w przypadku </w:t>
      </w:r>
      <w:r w:rsidRPr="0044619A">
        <w:rPr>
          <w:rFonts w:ascii="Arial" w:hAnsi="Arial" w:cs="Arial"/>
          <w:b/>
          <w:bCs/>
          <w:szCs w:val="28"/>
        </w:rPr>
        <w:t>21</w:t>
      </w:r>
      <w:r w:rsidRPr="0044619A">
        <w:rPr>
          <w:rFonts w:ascii="Arial" w:hAnsi="Arial" w:cs="Arial"/>
          <w:b/>
          <w:szCs w:val="28"/>
        </w:rPr>
        <w:t xml:space="preserve"> </w:t>
      </w:r>
      <w:r w:rsidRPr="0044619A">
        <w:rPr>
          <w:rFonts w:ascii="Arial" w:hAnsi="Arial" w:cs="Arial"/>
          <w:bCs/>
          <w:szCs w:val="28"/>
        </w:rPr>
        <w:t xml:space="preserve">ze </w:t>
      </w:r>
      <w:r w:rsidRPr="0044619A">
        <w:rPr>
          <w:rFonts w:ascii="Arial" w:hAnsi="Arial" w:cs="Arial"/>
          <w:b/>
          <w:bCs/>
          <w:szCs w:val="28"/>
        </w:rPr>
        <w:t>124 sprawdzonych losowo produktów</w:t>
      </w:r>
      <w:r w:rsidRPr="0044619A">
        <w:rPr>
          <w:rFonts w:ascii="Arial" w:hAnsi="Arial" w:cs="Arial"/>
          <w:bCs/>
          <w:szCs w:val="28"/>
        </w:rPr>
        <w:t xml:space="preserve"> tj. w przypadku </w:t>
      </w:r>
      <w:r w:rsidRPr="0044619A">
        <w:rPr>
          <w:rFonts w:ascii="Arial" w:hAnsi="Arial" w:cs="Arial"/>
          <w:b/>
          <w:bCs/>
          <w:szCs w:val="28"/>
        </w:rPr>
        <w:t>ok. 17%</w:t>
      </w:r>
      <w:r w:rsidRPr="0044619A">
        <w:rPr>
          <w:rFonts w:ascii="Arial" w:hAnsi="Arial" w:cs="Arial"/>
          <w:bCs/>
          <w:szCs w:val="28"/>
        </w:rPr>
        <w:t xml:space="preserve"> losowo wybranych produktów. Stwierdzone nieprawidłowości m.in. uniemożliwiały konsumentowi porównanie cen oferowanych do sprzedaży produktów;</w:t>
      </w:r>
    </w:p>
    <w:p w14:paraId="28FE2735" w14:textId="77777777" w:rsidR="0044619A" w:rsidRPr="0044619A" w:rsidRDefault="0044619A">
      <w:pPr>
        <w:pStyle w:val="Akapitzlist"/>
        <w:numPr>
          <w:ilvl w:val="0"/>
          <w:numId w:val="6"/>
        </w:numPr>
        <w:spacing w:before="120" w:line="360" w:lineRule="auto"/>
        <w:rPr>
          <w:rFonts w:ascii="Arial" w:hAnsi="Arial" w:cs="Arial"/>
          <w:bCs/>
          <w:szCs w:val="28"/>
        </w:rPr>
      </w:pPr>
      <w:r w:rsidRPr="0044619A">
        <w:rPr>
          <w:rFonts w:ascii="Arial" w:hAnsi="Arial" w:cs="Arial"/>
          <w:bCs/>
          <w:szCs w:val="28"/>
        </w:rPr>
        <w:t xml:space="preserve">fakt, że jest to </w:t>
      </w:r>
      <w:r w:rsidRPr="0044619A">
        <w:rPr>
          <w:rFonts w:ascii="Arial" w:hAnsi="Arial" w:cs="Arial"/>
          <w:b/>
          <w:bCs/>
          <w:szCs w:val="28"/>
        </w:rPr>
        <w:t>pierwsze naruszenie</w:t>
      </w:r>
      <w:r w:rsidRPr="0044619A">
        <w:rPr>
          <w:rFonts w:ascii="Arial" w:hAnsi="Arial" w:cs="Arial"/>
          <w:bCs/>
          <w:szCs w:val="28"/>
        </w:rPr>
        <w:t xml:space="preserve"> przez przedsiębiorcę przepisów w zakresie uwidaczniania cen;</w:t>
      </w:r>
    </w:p>
    <w:p w14:paraId="3932F5DE" w14:textId="77777777" w:rsidR="0044619A" w:rsidRPr="0044619A" w:rsidRDefault="0044619A">
      <w:pPr>
        <w:pStyle w:val="Akapitzlist"/>
        <w:numPr>
          <w:ilvl w:val="0"/>
          <w:numId w:val="6"/>
        </w:numPr>
        <w:spacing w:before="120" w:line="360" w:lineRule="auto"/>
        <w:rPr>
          <w:rFonts w:ascii="Arial" w:hAnsi="Arial" w:cs="Arial"/>
          <w:bCs/>
          <w:szCs w:val="28"/>
        </w:rPr>
      </w:pPr>
      <w:r w:rsidRPr="0044619A">
        <w:rPr>
          <w:rFonts w:ascii="Arial" w:hAnsi="Arial" w:cs="Arial"/>
          <w:b/>
          <w:bCs/>
          <w:szCs w:val="28"/>
        </w:rPr>
        <w:t>wielkość obrotów i przychodu</w:t>
      </w:r>
      <w:r w:rsidRPr="0044619A">
        <w:rPr>
          <w:rFonts w:ascii="Arial" w:hAnsi="Arial" w:cs="Arial"/>
          <w:bCs/>
          <w:szCs w:val="28"/>
        </w:rPr>
        <w:t xml:space="preserve"> przedsiębiorcy w roku 2021.</w:t>
      </w:r>
    </w:p>
    <w:p w14:paraId="730F28C7" w14:textId="5622DAEF" w:rsidR="0044619A" w:rsidRPr="0044619A" w:rsidRDefault="0044619A" w:rsidP="0044619A">
      <w:pPr>
        <w:pStyle w:val="Nagwek3"/>
        <w:spacing w:before="120"/>
        <w:rPr>
          <w:bCs w:val="0"/>
          <w:szCs w:val="28"/>
        </w:rPr>
      </w:pPr>
      <w:r w:rsidRPr="0044619A">
        <w:rPr>
          <w:bCs w:val="0"/>
          <w:szCs w:val="28"/>
        </w:rPr>
        <w:t xml:space="preserve">Biorąc pod uwagę wymienione kryteria, nałożenie kary pieniężnej w kwocie </w:t>
      </w:r>
      <w:r w:rsidRPr="0044619A">
        <w:rPr>
          <w:b/>
          <w:bCs w:val="0"/>
          <w:szCs w:val="28"/>
        </w:rPr>
        <w:t>500 zł</w:t>
      </w:r>
      <w:r w:rsidRPr="0044619A">
        <w:rPr>
          <w:bCs w:val="0"/>
          <w:szCs w:val="28"/>
        </w:rPr>
        <w:t xml:space="preserve"> </w:t>
      </w:r>
      <w:r w:rsidRPr="0044619A">
        <w:rPr>
          <w:bCs w:val="0"/>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44619A">
        <w:rPr>
          <w:bCs w:val="0"/>
          <w:szCs w:val="28"/>
        </w:rPr>
        <w:t xml:space="preserve"> </w:t>
      </w:r>
      <w:r w:rsidRPr="0044619A">
        <w:rPr>
          <w:bCs w:val="0"/>
          <w:szCs w:val="28"/>
        </w:rPr>
        <w:t>w art. 8 dyrektywy 98/6 WE Parlamentu Europejskiego i Rady z dnia 16 lutego 1998 r.</w:t>
      </w:r>
      <w:r w:rsidRPr="0044619A">
        <w:rPr>
          <w:bCs w:val="0"/>
          <w:szCs w:val="28"/>
        </w:rPr>
        <w:t xml:space="preserve"> </w:t>
      </w:r>
      <w:r w:rsidRPr="0044619A">
        <w:rPr>
          <w:bCs w:val="0"/>
          <w:szCs w:val="28"/>
        </w:rPr>
        <w:t>w sprawie ochrony konsumenta przez podawanie cen produktów oferowanych konsumentom (Dz. Urz. WE L 80 z 18.3.1998 r., s. 27), czyli jest skuteczna, proporcjonalna i odstraszająca.</w:t>
      </w:r>
    </w:p>
    <w:p w14:paraId="279C400C" w14:textId="114C4176" w:rsidR="0044619A" w:rsidRPr="0044619A" w:rsidRDefault="0044619A" w:rsidP="0044619A">
      <w:pPr>
        <w:pStyle w:val="Nagwek3"/>
        <w:spacing w:before="120"/>
        <w:rPr>
          <w:bCs w:val="0"/>
          <w:szCs w:val="28"/>
        </w:rPr>
      </w:pPr>
      <w:r w:rsidRPr="0044619A">
        <w:rPr>
          <w:bCs w:val="0"/>
          <w:szCs w:val="28"/>
        </w:rPr>
        <w:t>Organ zauważa, że na przedsiębiorcy spoczywa obowiązek uwidocznienia aktualnych</w:t>
      </w:r>
      <w:r w:rsidRPr="0044619A">
        <w:rPr>
          <w:bCs w:val="0"/>
          <w:szCs w:val="28"/>
        </w:rPr>
        <w:t xml:space="preserve"> </w:t>
      </w:r>
      <w:r w:rsidRPr="0044619A">
        <w:rPr>
          <w:bCs w:val="0"/>
          <w:szCs w:val="28"/>
        </w:rPr>
        <w:t>i umożliwiających porównanie cen. Wyjaśnienie złożone przez stronę w piśmie z dnia</w:t>
      </w:r>
      <w:r w:rsidRPr="0044619A">
        <w:rPr>
          <w:bCs w:val="0"/>
          <w:szCs w:val="28"/>
        </w:rPr>
        <w:t xml:space="preserve"> </w:t>
      </w:r>
      <w:r w:rsidRPr="0044619A">
        <w:rPr>
          <w:bCs w:val="0"/>
          <w:szCs w:val="28"/>
        </w:rPr>
        <w:t>9 czerwca 2022 r. wskazujące, że klient w czasie zakupu jest ustnie informowany o aktualnej</w:t>
      </w:r>
      <w:r w:rsidRPr="0044619A">
        <w:rPr>
          <w:bCs w:val="0"/>
          <w:szCs w:val="28"/>
        </w:rPr>
        <w:t xml:space="preserve"> </w:t>
      </w:r>
      <w:r w:rsidRPr="0044619A">
        <w:rPr>
          <w:bCs w:val="0"/>
          <w:szCs w:val="28"/>
        </w:rPr>
        <w:t xml:space="preserve">i obowiązującej cenie detalicznej wybranego produktu nie </w:t>
      </w:r>
      <w:r w:rsidRPr="0044619A">
        <w:rPr>
          <w:bCs w:val="0"/>
          <w:szCs w:val="28"/>
        </w:rPr>
        <w:lastRenderedPageBreak/>
        <w:t>jest spełnieniem wymogu w zakresie uwidaczniania informacji o cenach. Konsument ma prawo do uzyskania wszystkich istotnych informacji o towarach, a więc również o obowiązującej cenie, przed dokonaniem zakupu. Uwidocznieniem zaś jest ujawnienie informacji wymaganych ustawą w taki sposób,</w:t>
      </w:r>
      <w:r w:rsidRPr="0044619A">
        <w:rPr>
          <w:bCs w:val="0"/>
          <w:szCs w:val="28"/>
        </w:rPr>
        <w:t xml:space="preserve"> </w:t>
      </w:r>
      <w:r w:rsidRPr="0044619A">
        <w:rPr>
          <w:bCs w:val="0"/>
          <w:szCs w:val="28"/>
        </w:rPr>
        <w:t xml:space="preserve">aby przeciętny konsument mógł samodzielnie zaznajomić się z danymi na temat ceny czy ceny jednostkowej produktu bez podejmowania jakichkolwiek dodatkowych czynności. Uwidocznienie ceny produktu jest więc bezsprzecznie jednym z podstawowych obowiązków przedsiębiorcy względem konsumenta. Ponadto, przywołany przez stronę w wymienionym piśmie konflikt zbrojny na Ukrainie oraz pandemia COVID-19 nie miały bezpośredniego ani też pośredniego wpływu na nieuwidocznienie ceny przy części oferowanych produktów mogły natomiast mieć realny wpływ i przyczynić się do </w:t>
      </w:r>
      <w:r w:rsidRPr="0044619A">
        <w:rPr>
          <w:b/>
          <w:bCs w:val="0"/>
          <w:szCs w:val="28"/>
        </w:rPr>
        <w:t>(dane zanonimizowane)</w:t>
      </w:r>
      <w:r w:rsidRPr="0044619A">
        <w:rPr>
          <w:bCs w:val="0"/>
          <w:szCs w:val="28"/>
        </w:rPr>
        <w:t xml:space="preserve">. Mając na uwadze powyższe, organ uważa, że nałożenie kary pieniężnej w kwocie </w:t>
      </w:r>
      <w:r w:rsidRPr="0044619A">
        <w:rPr>
          <w:b/>
          <w:bCs w:val="0"/>
          <w:szCs w:val="28"/>
        </w:rPr>
        <w:t xml:space="preserve">500 zł </w:t>
      </w:r>
      <w:r w:rsidRPr="0044619A">
        <w:rPr>
          <w:bCs w:val="0"/>
          <w:szCs w:val="28"/>
        </w:rPr>
        <w:t>za w pełni uzasadnione.</w:t>
      </w:r>
    </w:p>
    <w:p w14:paraId="3051D99D" w14:textId="49F73CF3" w:rsidR="0044619A" w:rsidRPr="0044619A" w:rsidRDefault="0044619A" w:rsidP="0044619A">
      <w:pPr>
        <w:pStyle w:val="Nagwek3"/>
        <w:spacing w:before="120"/>
        <w:rPr>
          <w:bCs w:val="0"/>
          <w:szCs w:val="28"/>
        </w:rPr>
      </w:pPr>
      <w:r w:rsidRPr="0044619A">
        <w:rPr>
          <w:bCs w:val="0"/>
          <w:szCs w:val="28"/>
        </w:rPr>
        <w:t>Organ uznał, że strona postępowania miała możliwość zapobieżenia powstałym nieprawidłowościom poprzez chociażby nadzór nad prawidłowością stosowania przepisów</w:t>
      </w:r>
      <w:r w:rsidRPr="0044619A">
        <w:rPr>
          <w:bCs w:val="0"/>
          <w:szCs w:val="28"/>
        </w:rPr>
        <w:t xml:space="preserve"> </w:t>
      </w:r>
      <w:r w:rsidRPr="0044619A">
        <w:rPr>
          <w:bCs w:val="0"/>
          <w:szCs w:val="28"/>
        </w:rPr>
        <w:t>w prowadzonej placówce. Przypomnieć należy, że kontrola, podczas której wykazano nieprawidłowości poprzedzona została doręczonym prawidłowo zawiadomieniem o zamiarze wszczęcia kontroli. Strona miała więc wystarczająco dużo czasu, aby do kontroli odpowiednio się przygotować oraz podjąć działania eliminujące nieprawidłowości w zakresie uwidaczniania cen.</w:t>
      </w:r>
    </w:p>
    <w:p w14:paraId="4F1619ED" w14:textId="4C984278" w:rsidR="0044619A" w:rsidRPr="0044619A" w:rsidRDefault="0044619A" w:rsidP="0044619A">
      <w:pPr>
        <w:pStyle w:val="Nagwek3"/>
        <w:spacing w:before="120"/>
        <w:rPr>
          <w:bCs w:val="0"/>
          <w:szCs w:val="28"/>
        </w:rPr>
      </w:pPr>
      <w:r w:rsidRPr="0044619A">
        <w:rPr>
          <w:bCs w:val="0"/>
          <w:szCs w:val="28"/>
        </w:rPr>
        <w:t>Podkarpacki Wojewódzki Inspektor Inspekcji Handlowej przypomina, że odpowiedzialność podmiotu naruszającego przepisy ustawy ma charakter obiektywny i powstaje z chwilą popełnienia naruszenia. Oznacza to, że bez znaczenia pozostają okoliczności, w wyniku których strona dopuściła się nieprawidłowości – niewiedza 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w:t>
      </w:r>
      <w:r w:rsidRPr="0044619A">
        <w:rPr>
          <w:bCs w:val="0"/>
          <w:szCs w:val="28"/>
        </w:rPr>
        <w:t xml:space="preserve"> </w:t>
      </w:r>
      <w:r w:rsidRPr="0044619A">
        <w:rPr>
          <w:bCs w:val="0"/>
          <w:szCs w:val="28"/>
        </w:rPr>
        <w:t>dla konsumenta i w żadnym wypadku nie może stanowić okoliczności łagodzącej</w:t>
      </w:r>
      <w:r w:rsidRPr="0044619A">
        <w:rPr>
          <w:bCs w:val="0"/>
          <w:szCs w:val="28"/>
        </w:rPr>
        <w:t xml:space="preserve"> </w:t>
      </w:r>
      <w:r w:rsidRPr="0044619A">
        <w:rPr>
          <w:bCs w:val="0"/>
          <w:szCs w:val="28"/>
        </w:rPr>
        <w:t>dla stwierdzonych w toku kontroli naruszeń prawa. Kara pieniężna za naruszenie przepisów</w:t>
      </w:r>
      <w:r w:rsidRPr="0044619A">
        <w:rPr>
          <w:bCs w:val="0"/>
          <w:szCs w:val="28"/>
        </w:rPr>
        <w:t xml:space="preserve"> </w:t>
      </w:r>
      <w:r w:rsidRPr="0044619A">
        <w:rPr>
          <w:bCs w:val="0"/>
          <w:szCs w:val="28"/>
        </w:rPr>
        <w:t xml:space="preserve">w zakresie uwidaczniania cen jako kara administracyjna jest </w:t>
      </w:r>
      <w:r w:rsidRPr="0044619A">
        <w:rPr>
          <w:bCs w:val="0"/>
          <w:szCs w:val="28"/>
        </w:rPr>
        <w:lastRenderedPageBreak/>
        <w:t xml:space="preserve">niezależna od winy czy zaniedbania kontrolowanego i nakładana jest w związku z wystąpieniem opisanego w ustawie zdarzenia. </w:t>
      </w:r>
    </w:p>
    <w:p w14:paraId="1DED744A" w14:textId="77777777" w:rsidR="0044619A" w:rsidRPr="0044619A" w:rsidRDefault="0044619A" w:rsidP="0044619A">
      <w:pPr>
        <w:pStyle w:val="Nagwek3"/>
        <w:spacing w:before="120"/>
        <w:rPr>
          <w:bCs w:val="0"/>
          <w:szCs w:val="28"/>
        </w:rPr>
      </w:pPr>
      <w:r w:rsidRPr="0044619A">
        <w:rPr>
          <w:bCs w:val="0"/>
          <w:szCs w:val="28"/>
        </w:rPr>
        <w:t xml:space="preserve">Tym samym tutejszy organ Inspekcji, analizując cały materiał dowodowy nie znalazł podstaw do odstąpienia od wymierzenia administracyjnej kary pieniężnej. </w:t>
      </w:r>
    </w:p>
    <w:p w14:paraId="3992F088" w14:textId="270303C3"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Zgodnie z art. 189e Kpa, w przypadku, gdy do naruszenia prawa doszło wskutek działania siły wyższej, strona nie podlega ukaraniu. Pojęcie to wprawdzie nie zostało zdefiniowane</w:t>
      </w:r>
      <w:r w:rsidRPr="0044619A">
        <w:rPr>
          <w:rFonts w:ascii="Arial" w:hAnsi="Arial" w:cs="Arial"/>
          <w:szCs w:val="28"/>
        </w:rPr>
        <w:t xml:space="preserve"> </w:t>
      </w:r>
      <w:r w:rsidRPr="0044619A">
        <w:rPr>
          <w:rFonts w:ascii="Arial" w:hAnsi="Arial" w:cs="Arial"/>
          <w:bCs/>
          <w:szCs w:val="28"/>
        </w:rP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44619A">
        <w:rPr>
          <w:rFonts w:ascii="Arial" w:hAnsi="Arial" w:cs="Arial"/>
          <w:bCs/>
          <w:szCs w:val="28"/>
        </w:rPr>
        <w:t>MoP</w:t>
      </w:r>
      <w:proofErr w:type="spellEnd"/>
      <w:r w:rsidRPr="0044619A">
        <w:rPr>
          <w:rFonts w:ascii="Arial" w:hAnsi="Arial" w:cs="Arial"/>
          <w:bCs/>
          <w:szCs w:val="28"/>
        </w:rPr>
        <w:t xml:space="preserve"> 2005, Nr 6). „Siłę wyższą odróżnia się od zwykłego przypadku (casus) to, że jest to zdarzenie nadzwyczajne, zewnętrzne i niemożliwe do zapobieżenia (vis </w:t>
      </w:r>
      <w:proofErr w:type="spellStart"/>
      <w:r w:rsidRPr="0044619A">
        <w:rPr>
          <w:rFonts w:ascii="Arial" w:hAnsi="Arial" w:cs="Arial"/>
          <w:bCs/>
          <w:szCs w:val="28"/>
        </w:rPr>
        <w:t>cui</w:t>
      </w:r>
      <w:proofErr w:type="spellEnd"/>
      <w:r w:rsidRPr="0044619A">
        <w:rPr>
          <w:rFonts w:ascii="Arial" w:hAnsi="Arial" w:cs="Arial"/>
          <w:bCs/>
          <w:szCs w:val="28"/>
        </w:rPr>
        <w:t xml:space="preserve"> </w:t>
      </w:r>
      <w:proofErr w:type="spellStart"/>
      <w:r w:rsidRPr="0044619A">
        <w:rPr>
          <w:rFonts w:ascii="Arial" w:hAnsi="Arial" w:cs="Arial"/>
          <w:bCs/>
          <w:szCs w:val="28"/>
        </w:rPr>
        <w:t>humana</w:t>
      </w:r>
      <w:proofErr w:type="spellEnd"/>
      <w:r w:rsidRPr="0044619A">
        <w:rPr>
          <w:rFonts w:ascii="Arial" w:hAnsi="Arial" w:cs="Arial"/>
          <w:bCs/>
          <w:szCs w:val="28"/>
        </w:rPr>
        <w:t xml:space="preserve"> </w:t>
      </w:r>
      <w:proofErr w:type="spellStart"/>
      <w:r w:rsidRPr="0044619A">
        <w:rPr>
          <w:rFonts w:ascii="Arial" w:hAnsi="Arial" w:cs="Arial"/>
          <w:bCs/>
          <w:szCs w:val="28"/>
        </w:rPr>
        <w:t>infirmitas</w:t>
      </w:r>
      <w:proofErr w:type="spellEnd"/>
      <w:r w:rsidRPr="0044619A">
        <w:rPr>
          <w:rFonts w:ascii="Arial" w:hAnsi="Arial" w:cs="Arial"/>
          <w:bCs/>
          <w:szCs w:val="28"/>
        </w:rPr>
        <w:t xml:space="preserve"> </w:t>
      </w:r>
      <w:proofErr w:type="spellStart"/>
      <w:r w:rsidRPr="0044619A">
        <w:rPr>
          <w:rFonts w:ascii="Arial" w:hAnsi="Arial" w:cs="Arial"/>
          <w:bCs/>
          <w:szCs w:val="28"/>
        </w:rPr>
        <w:t>resistere</w:t>
      </w:r>
      <w:proofErr w:type="spellEnd"/>
      <w:r w:rsidRPr="0044619A">
        <w:rPr>
          <w:rFonts w:ascii="Arial" w:hAnsi="Arial" w:cs="Arial"/>
          <w:bCs/>
          <w:szCs w:val="28"/>
        </w:rPr>
        <w:t xml:space="preserve"> non </w:t>
      </w:r>
      <w:proofErr w:type="spellStart"/>
      <w:r w:rsidRPr="0044619A">
        <w:rPr>
          <w:rFonts w:ascii="Arial" w:hAnsi="Arial" w:cs="Arial"/>
          <w:bCs/>
          <w:szCs w:val="28"/>
        </w:rPr>
        <w:t>potest</w:t>
      </w:r>
      <w:proofErr w:type="spellEnd"/>
      <w:r w:rsidRPr="0044619A">
        <w:rPr>
          <w:rFonts w:ascii="Arial" w:hAnsi="Arial" w:cs="Arial"/>
          <w:bCs/>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w:t>
      </w:r>
      <w:r w:rsidRPr="0044619A">
        <w:rPr>
          <w:rFonts w:ascii="Arial" w:hAnsi="Arial" w:cs="Arial"/>
          <w:szCs w:val="28"/>
        </w:rPr>
        <w:t xml:space="preserve"> </w:t>
      </w:r>
      <w:r w:rsidRPr="0044619A">
        <w:rPr>
          <w:rFonts w:ascii="Arial" w:hAnsi="Arial" w:cs="Arial"/>
          <w:bCs/>
          <w:szCs w:val="28"/>
        </w:rPr>
        <w:t xml:space="preserve">(A. </w:t>
      </w:r>
      <w:proofErr w:type="spellStart"/>
      <w:r w:rsidRPr="0044619A">
        <w:rPr>
          <w:rFonts w:ascii="Arial" w:hAnsi="Arial" w:cs="Arial"/>
          <w:bCs/>
          <w:szCs w:val="28"/>
        </w:rPr>
        <w:t>Kidyba</w:t>
      </w:r>
      <w:proofErr w:type="spellEnd"/>
      <w:r w:rsidRPr="0044619A">
        <w:rPr>
          <w:rFonts w:ascii="Arial" w:hAnsi="Arial" w:cs="Arial"/>
          <w:bCs/>
          <w:szCs w:val="28"/>
        </w:rPr>
        <w:t>: Kodeks cywilny. Komentarz. T. 3. Zobowiązania – część ogólna. Warszawa 2016, art. 124). W ocenie tutejszego organu Inspekcji, na gruncie sprawy z pewnością nie mamy</w:t>
      </w:r>
      <w:r w:rsidRPr="0044619A">
        <w:rPr>
          <w:rFonts w:ascii="Arial" w:hAnsi="Arial" w:cs="Arial"/>
          <w:szCs w:val="28"/>
        </w:rPr>
        <w:t xml:space="preserve"> </w:t>
      </w:r>
      <w:r w:rsidRPr="0044619A">
        <w:rPr>
          <w:rFonts w:ascii="Arial" w:hAnsi="Arial" w:cs="Arial"/>
          <w:bCs/>
          <w:szCs w:val="28"/>
        </w:rPr>
        <w:t>do czynienia z działaniem siły wyższej. Kontrole dotyczące uwidaczniania cen przeprowadzane są za uprzednim zawiadomieniem o zamiarze ich przeprowadzenia, a tym samym kontrolowany ma czas i możliwość przygotowania się do takiej. Jednocześnie, co wcześniej wskazał organ,</w:t>
      </w:r>
      <w:r w:rsidRPr="0044619A">
        <w:rPr>
          <w:rFonts w:ascii="Arial" w:hAnsi="Arial" w:cs="Arial"/>
          <w:szCs w:val="28"/>
        </w:rPr>
        <w:t xml:space="preserve"> </w:t>
      </w:r>
      <w:r w:rsidRPr="0044619A">
        <w:rPr>
          <w:rFonts w:ascii="Arial" w:hAnsi="Arial" w:cs="Arial"/>
          <w:bCs/>
          <w:szCs w:val="28"/>
        </w:rPr>
        <w:t>o ile pandemię COVID-19, czy konflikt zbrojny w Ukrainie można, a nawet należy zaliczyć</w:t>
      </w:r>
      <w:r w:rsidRPr="0044619A">
        <w:rPr>
          <w:rFonts w:ascii="Arial" w:hAnsi="Arial" w:cs="Arial"/>
          <w:szCs w:val="28"/>
        </w:rPr>
        <w:t xml:space="preserve"> </w:t>
      </w:r>
      <w:r w:rsidRPr="0044619A">
        <w:rPr>
          <w:rFonts w:ascii="Arial" w:hAnsi="Arial" w:cs="Arial"/>
          <w:bCs/>
          <w:szCs w:val="28"/>
        </w:rPr>
        <w:t>do siły wyższej, o tyle nie można w świetle brzmienia przepisu art. 189e, zastosować odstąpienia od wymierzenia kary pieniężnej na tej podstawie, trudno bowiem powiązać wystąpienie wymienionych w zdaniu poprzednim czynników, z bezpośrednim wpływem na nieuwidocznienie cen u przedsiębiorcy.</w:t>
      </w:r>
    </w:p>
    <w:p w14:paraId="55226D58" w14:textId="4C29327E"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Przesłanki odstąpienia od nałożenia administracyjnej kary pieniężnej określone są także</w:t>
      </w:r>
      <w:r w:rsidRPr="0044619A">
        <w:rPr>
          <w:rFonts w:ascii="Arial" w:hAnsi="Arial" w:cs="Arial"/>
          <w:szCs w:val="28"/>
        </w:rPr>
        <w:t xml:space="preserve"> </w:t>
      </w:r>
      <w:r w:rsidRPr="0044619A">
        <w:rPr>
          <w:rFonts w:ascii="Arial" w:hAnsi="Arial" w:cs="Arial"/>
          <w:bCs/>
          <w:szCs w:val="28"/>
        </w:rPr>
        <w:t>w art. 189f kpa, który stanowi w §1, że organ administracji publicznej, w drodze decyzji, odstępuje od nałożenia administracyjnej kary pieniężnej i poprzestaje na pouczeniu, jeżeli:</w:t>
      </w:r>
    </w:p>
    <w:p w14:paraId="24C99DF0"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waga naruszenia prawa jest znikoma, a strona zaprzestała naruszania prawa lub</w:t>
      </w:r>
    </w:p>
    <w:p w14:paraId="65BCD946"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lastRenderedPageBreak/>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18E85183"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 xml:space="preserve">Tym samym pomimo działań naprawczych strony podjętych w trakcie trwania kontroli nie, można było zastosować art. 189f § 1 pkt 1 kpa, gdyż wskazane w tym przepisie dwie przesłanki muszą wystąpić </w:t>
      </w:r>
      <w:r w:rsidRPr="0044619A">
        <w:rPr>
          <w:rFonts w:ascii="Arial" w:hAnsi="Arial" w:cs="Arial"/>
          <w:b/>
          <w:bCs/>
          <w:szCs w:val="28"/>
        </w:rPr>
        <w:t>łącznie</w:t>
      </w:r>
      <w:r w:rsidRPr="0044619A">
        <w:rPr>
          <w:rFonts w:ascii="Arial" w:hAnsi="Arial" w:cs="Arial"/>
          <w:bCs/>
          <w:szCs w:val="28"/>
        </w:rPr>
        <w:t>. Mając na uwadze, że, jak wskazał organ, wagi naruszenia nie można było uznać za znikomą, nie znalazło uzasadnienia odstąpienie od wymierzenia od kary pieniężnej w trybie art. 189f § 1 pkt 1 kpa.</w:t>
      </w:r>
    </w:p>
    <w:p w14:paraId="238BC477"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Nie można również było zastosować przepisu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43FCD3B6" w14:textId="47E03BCC"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Brak jest także podstaw do odstąpienia od nałożenia kary pieniężnej na podstawie</w:t>
      </w:r>
      <w:r w:rsidRPr="0044619A">
        <w:rPr>
          <w:rFonts w:ascii="Arial" w:hAnsi="Arial" w:cs="Arial"/>
          <w:szCs w:val="28"/>
        </w:rPr>
        <w:t xml:space="preserve"> </w:t>
      </w:r>
      <w:r w:rsidRPr="0044619A">
        <w:rPr>
          <w:rFonts w:ascii="Arial" w:hAnsi="Arial" w:cs="Arial"/>
          <w:bCs/>
          <w:szCs w:val="28"/>
        </w:rP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5552B5B9" w14:textId="39EF7620" w:rsidR="0044619A" w:rsidRPr="0044619A" w:rsidRDefault="0044619A">
      <w:pPr>
        <w:pStyle w:val="Akapitzlist"/>
        <w:numPr>
          <w:ilvl w:val="0"/>
          <w:numId w:val="7"/>
        </w:numPr>
        <w:spacing w:before="120" w:line="360" w:lineRule="auto"/>
        <w:rPr>
          <w:rFonts w:ascii="Arial" w:hAnsi="Arial" w:cs="Arial"/>
          <w:bCs/>
          <w:szCs w:val="28"/>
        </w:rPr>
      </w:pPr>
      <w:r w:rsidRPr="0044619A">
        <w:rPr>
          <w:rFonts w:ascii="Arial" w:hAnsi="Arial" w:cs="Arial"/>
          <w:bCs/>
          <w:szCs w:val="28"/>
        </w:rPr>
        <w:t>usunięcie naruszenia prawa lub</w:t>
      </w:r>
    </w:p>
    <w:p w14:paraId="6112546B" w14:textId="2BE0CD55" w:rsidR="0044619A" w:rsidRPr="0044619A" w:rsidRDefault="0044619A">
      <w:pPr>
        <w:pStyle w:val="Akapitzlist"/>
        <w:numPr>
          <w:ilvl w:val="0"/>
          <w:numId w:val="7"/>
        </w:numPr>
        <w:spacing w:before="120" w:line="360" w:lineRule="auto"/>
        <w:rPr>
          <w:rFonts w:ascii="Arial" w:hAnsi="Arial" w:cs="Arial"/>
          <w:bCs/>
          <w:szCs w:val="28"/>
        </w:rPr>
      </w:pPr>
      <w:r w:rsidRPr="0044619A">
        <w:rPr>
          <w:rFonts w:ascii="Arial" w:hAnsi="Arial" w:cs="Arial"/>
          <w:bCs/>
          <w:szCs w:val="28"/>
        </w:rPr>
        <w:t>powiadomienia właściwych podmiotów o stwierdzonym naruszeniu prawa, określając termin i sposób powiadomienia.</w:t>
      </w:r>
    </w:p>
    <w:p w14:paraId="173D8163"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 xml:space="preserve">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w:t>
      </w:r>
      <w:r w:rsidRPr="0044619A">
        <w:rPr>
          <w:rFonts w:ascii="Arial" w:hAnsi="Arial" w:cs="Arial"/>
          <w:bCs/>
          <w:szCs w:val="28"/>
        </w:rPr>
        <w:lastRenderedPageBreak/>
        <w:t>on do powstania nieprawidłowości w przyszłości. Wszelkie wymagania kara w tej wysokości spełnia.</w:t>
      </w:r>
    </w:p>
    <w:p w14:paraId="2D9977C0" w14:textId="2E119C55"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Organ wskazuje nadto, że z dniem 1 stycznia 2020 r. wszedł w życie art. 61 ustawy z dnia</w:t>
      </w:r>
      <w:r w:rsidRPr="0044619A">
        <w:rPr>
          <w:rFonts w:ascii="Arial" w:hAnsi="Arial" w:cs="Arial"/>
          <w:szCs w:val="28"/>
        </w:rPr>
        <w:t xml:space="preserve"> </w:t>
      </w:r>
      <w:r w:rsidRPr="0044619A">
        <w:rPr>
          <w:rFonts w:ascii="Arial" w:hAnsi="Arial" w:cs="Arial"/>
          <w:bCs/>
          <w:szCs w:val="28"/>
        </w:rPr>
        <w:t>31 lipca 2019 r. o zmianie niektórych ustaw w celu ograniczenia obciążeń regulacyjnych</w:t>
      </w:r>
      <w:r w:rsidRPr="0044619A">
        <w:rPr>
          <w:rFonts w:ascii="Arial" w:hAnsi="Arial" w:cs="Arial"/>
          <w:szCs w:val="28"/>
        </w:rPr>
        <w:t xml:space="preserve"> </w:t>
      </w:r>
      <w:r w:rsidRPr="0044619A">
        <w:rPr>
          <w:rFonts w:ascii="Arial" w:hAnsi="Arial" w:cs="Arial"/>
          <w:bCs/>
          <w:szCs w:val="28"/>
        </w:rP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bowiem strony prowadzą działalność nieprzerwanie odpowiednio</w:t>
      </w:r>
      <w:r w:rsidRPr="0044619A">
        <w:rPr>
          <w:rFonts w:ascii="Arial" w:hAnsi="Arial" w:cs="Arial"/>
          <w:szCs w:val="28"/>
        </w:rPr>
        <w:t xml:space="preserve"> </w:t>
      </w:r>
      <w:r w:rsidRPr="0044619A">
        <w:rPr>
          <w:rFonts w:ascii="Arial" w:hAnsi="Arial" w:cs="Arial"/>
          <w:bCs/>
          <w:szCs w:val="28"/>
        </w:rPr>
        <w:t>od 2009 i 2010 roku.</w:t>
      </w:r>
    </w:p>
    <w:p w14:paraId="7393D0D8"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 xml:space="preserve">W związku z powyższym tutejszy organ Inspekcji orzekł jak w sentencji. </w:t>
      </w:r>
    </w:p>
    <w:p w14:paraId="08BFF558" w14:textId="77777777" w:rsidR="0044619A" w:rsidRPr="0044619A" w:rsidRDefault="0044619A" w:rsidP="0044619A">
      <w:pPr>
        <w:spacing w:before="120" w:line="360" w:lineRule="auto"/>
        <w:rPr>
          <w:rFonts w:ascii="Arial" w:hAnsi="Arial" w:cs="Arial"/>
          <w:bCs/>
          <w:szCs w:val="28"/>
        </w:rPr>
      </w:pPr>
      <w:r w:rsidRPr="0044619A">
        <w:rPr>
          <w:rFonts w:ascii="Arial" w:hAnsi="Arial" w:cs="Arial"/>
          <w:bCs/>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733E2A5" w14:textId="0E5E62A8" w:rsidR="0044619A" w:rsidRPr="0044619A" w:rsidRDefault="0044619A" w:rsidP="0044619A">
      <w:pPr>
        <w:pStyle w:val="Nagwek3"/>
        <w:spacing w:before="120"/>
        <w:rPr>
          <w:bCs w:val="0"/>
          <w:szCs w:val="28"/>
        </w:rPr>
      </w:pPr>
      <w:r w:rsidRPr="0044619A">
        <w:rPr>
          <w:bCs w:val="0"/>
          <w:szCs w:val="28"/>
        </w:rPr>
        <w:t>Podkarpacki Wojewódzki Inspektor Inspekcji Handlowej wydając decyzję oparł się na następujących dowodach: protokole kontroli DK.8361.41.2022 z dnia 9 maja 2022 r. wraz</w:t>
      </w:r>
      <w:r w:rsidRPr="0044619A">
        <w:rPr>
          <w:bCs w:val="0"/>
          <w:szCs w:val="28"/>
        </w:rPr>
        <w:t xml:space="preserve"> </w:t>
      </w:r>
      <w:r w:rsidRPr="0044619A">
        <w:rPr>
          <w:bCs w:val="0"/>
          <w:szCs w:val="28"/>
        </w:rPr>
        <w:t>z załącznikami, oświadczeniu stron z dnia 9 czerwca 2022 r. wskazującym wielkość przychodu i dochodu osiągniętego przez przedsiębiorców w 2021 roku.</w:t>
      </w:r>
    </w:p>
    <w:p w14:paraId="7DCE87CD" w14:textId="2AC7F3F3" w:rsidR="0057018B" w:rsidRPr="0044619A" w:rsidRDefault="0044619A" w:rsidP="0044619A">
      <w:pPr>
        <w:spacing w:before="120" w:line="360" w:lineRule="auto"/>
        <w:rPr>
          <w:rFonts w:ascii="Arial" w:hAnsi="Arial" w:cs="Arial"/>
          <w:bCs/>
          <w:szCs w:val="28"/>
        </w:rPr>
      </w:pPr>
      <w:r w:rsidRPr="0044619A">
        <w:rPr>
          <w:rFonts w:ascii="Arial" w:hAnsi="Arial" w:cs="Arial"/>
          <w:bCs/>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44619A">
        <w:rPr>
          <w:rFonts w:ascii="Arial" w:hAnsi="Arial" w:cs="Arial"/>
          <w:b/>
          <w:bCs/>
          <w:szCs w:val="28"/>
        </w:rPr>
        <w:t>NBP O/O w Rzeszowie 67 1010 1528 0016 5822 3100 0000,</w:t>
      </w:r>
      <w:r>
        <w:rPr>
          <w:rFonts w:ascii="Arial" w:hAnsi="Arial" w:cs="Arial"/>
          <w:bCs/>
          <w:szCs w:val="28"/>
        </w:rPr>
        <w:t xml:space="preserve"> </w:t>
      </w:r>
      <w:r w:rsidRPr="0044619A">
        <w:rPr>
          <w:rFonts w:ascii="Arial" w:hAnsi="Arial" w:cs="Arial"/>
          <w:szCs w:val="28"/>
        </w:rPr>
        <w:t>w terminie 7 dni od dnia, w którym decyzja o wymierzeniu kary stała się ostateczna</w:t>
      </w:r>
      <w:r w:rsidR="0057018B" w:rsidRPr="0044619A">
        <w:rPr>
          <w:rFonts w:ascii="Arial" w:eastAsia="Calibri" w:hAnsi="Arial" w:cs="Arial"/>
          <w:lang w:eastAsia="en-US"/>
        </w:rPr>
        <w:t>.</w:t>
      </w:r>
    </w:p>
    <w:p w14:paraId="6F515665" w14:textId="77777777" w:rsidR="0057018B" w:rsidRPr="0044619A" w:rsidRDefault="0057018B" w:rsidP="001E6BE6">
      <w:pPr>
        <w:pStyle w:val="Nagwek3"/>
        <w:spacing w:before="120"/>
        <w:rPr>
          <w:bCs w:val="0"/>
        </w:rPr>
      </w:pPr>
      <w:r w:rsidRPr="0044619A">
        <w:rPr>
          <w:bCs w:val="0"/>
        </w:rPr>
        <w:lastRenderedPageBreak/>
        <w:t>Pouczenie:</w:t>
      </w:r>
    </w:p>
    <w:p w14:paraId="0310C994" w14:textId="77777777" w:rsidR="0044619A" w:rsidRPr="0044619A" w:rsidRDefault="0044619A" w:rsidP="0044619A">
      <w:pPr>
        <w:spacing w:before="120" w:line="360" w:lineRule="auto"/>
        <w:rPr>
          <w:rFonts w:ascii="Arial" w:hAnsi="Arial" w:cs="Arial"/>
          <w:szCs w:val="24"/>
        </w:rPr>
      </w:pPr>
      <w:r w:rsidRPr="0044619A">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611EA37" w14:textId="50A26D47" w:rsidR="0044619A" w:rsidRPr="0044619A" w:rsidRDefault="0044619A" w:rsidP="0044619A">
      <w:pPr>
        <w:spacing w:before="120" w:line="360" w:lineRule="auto"/>
        <w:rPr>
          <w:rFonts w:ascii="Arial" w:hAnsi="Arial" w:cs="Arial"/>
          <w:szCs w:val="24"/>
        </w:rPr>
      </w:pPr>
      <w:r w:rsidRPr="0044619A">
        <w:rPr>
          <w:rFonts w:ascii="Arial" w:hAnsi="Arial" w:cs="Arial"/>
          <w:szCs w:val="24"/>
        </w:rPr>
        <w:t>Zgodnie z art. 127a § 1 kpa w trakcie biegu terminu odwołania strona może zrzec się prawa</w:t>
      </w:r>
      <w:r w:rsidRPr="0044619A">
        <w:rPr>
          <w:rFonts w:ascii="Arial" w:hAnsi="Arial" w:cs="Arial"/>
          <w:szCs w:val="24"/>
        </w:rPr>
        <w:t xml:space="preserve"> </w:t>
      </w:r>
      <w:r w:rsidRPr="0044619A">
        <w:rPr>
          <w:rFonts w:ascii="Arial" w:hAnsi="Arial" w:cs="Arial"/>
          <w:szCs w:val="24"/>
        </w:rPr>
        <w:t>do wniesienia odwołania wobec organu administracji publicznej, który wydał decyzję. Z dniem doręczenia organowi administracji publicznej oświadczenia o zrzeczeniu się prawa</w:t>
      </w:r>
      <w:r w:rsidRPr="0044619A">
        <w:rPr>
          <w:rFonts w:ascii="Arial" w:hAnsi="Arial" w:cs="Arial"/>
          <w:szCs w:val="24"/>
        </w:rPr>
        <w:t xml:space="preserve"> </w:t>
      </w:r>
      <w:r w:rsidRPr="0044619A">
        <w:rPr>
          <w:rFonts w:ascii="Arial" w:hAnsi="Arial" w:cs="Arial"/>
          <w:szCs w:val="24"/>
        </w:rPr>
        <w:t xml:space="preserve">do odwołania przez ostatnią ze stron postepowania, decyzja staje się ostateczna i prawomocna. </w:t>
      </w:r>
    </w:p>
    <w:p w14:paraId="1451630B" w14:textId="1A2370F4" w:rsidR="0057018B" w:rsidRPr="0044619A" w:rsidRDefault="0044619A" w:rsidP="0044619A">
      <w:pPr>
        <w:spacing w:before="120" w:line="360" w:lineRule="auto"/>
        <w:rPr>
          <w:rFonts w:ascii="Arial" w:eastAsia="Calibri" w:hAnsi="Arial" w:cs="Arial"/>
          <w:szCs w:val="24"/>
          <w:lang w:eastAsia="en-US"/>
        </w:rPr>
      </w:pPr>
      <w:r w:rsidRPr="0044619A">
        <w:rPr>
          <w:rFonts w:ascii="Arial" w:hAnsi="Arial" w:cs="Arial"/>
          <w:szCs w:val="24"/>
        </w:rPr>
        <w:t>Zgodnie z art. 8 ustawy o informowaniu o cenach towarów i usług do kar pieniężnych</w:t>
      </w:r>
      <w:r w:rsidRPr="0044619A">
        <w:rPr>
          <w:rFonts w:ascii="Arial" w:hAnsi="Arial" w:cs="Arial"/>
          <w:szCs w:val="24"/>
        </w:rPr>
        <w:t xml:space="preserve"> </w:t>
      </w:r>
      <w:r w:rsidRPr="0044619A">
        <w:rPr>
          <w:rFonts w:ascii="Arial" w:hAnsi="Arial" w:cs="Arial"/>
          <w:szCs w:val="24"/>
        </w:rPr>
        <w:t>w zakresie nieuregulowanym w ustawie stosuje się odpowiednio przepisy działu III ustawy</w:t>
      </w:r>
      <w:r w:rsidRPr="0044619A">
        <w:rPr>
          <w:rFonts w:ascii="Arial" w:hAnsi="Arial" w:cs="Arial"/>
          <w:szCs w:val="24"/>
        </w:rPr>
        <w:t xml:space="preserve"> </w:t>
      </w:r>
      <w:r w:rsidRPr="0044619A">
        <w:rPr>
          <w:rFonts w:ascii="Arial" w:hAnsi="Arial" w:cs="Arial"/>
          <w:szCs w:val="24"/>
        </w:rPr>
        <w:t>z dnia 29 sierpnia 1997 r. Ordynacja podatkowa (tekst jednolity: Dz. U. z 2021 r.,</w:t>
      </w:r>
      <w:r w:rsidRPr="0044619A">
        <w:rPr>
          <w:rFonts w:ascii="Arial" w:hAnsi="Arial" w:cs="Arial"/>
          <w:szCs w:val="24"/>
        </w:rPr>
        <w:t xml:space="preserve"> </w:t>
      </w:r>
      <w:r w:rsidRPr="0044619A">
        <w:rPr>
          <w:rFonts w:ascii="Arial" w:hAnsi="Arial" w:cs="Arial"/>
          <w:szCs w:val="24"/>
        </w:rPr>
        <w:t>poz. 1540 ze zm.). Kary pieniężne podlegają egzekucji w trybie przepisów o postępowaniu egzekucyjnym w administracji w zakresie egzekucji obowiązków o charakterze pieniężnym</w:t>
      </w:r>
      <w:r w:rsidR="0057018B" w:rsidRPr="0044619A">
        <w:rPr>
          <w:rFonts w:ascii="Arial" w:eastAsia="Calibri" w:hAnsi="Arial" w:cs="Arial"/>
          <w:szCs w:val="24"/>
          <w:lang w:eastAsia="en-US"/>
        </w:rPr>
        <w:t>.</w:t>
      </w:r>
    </w:p>
    <w:p w14:paraId="11515186" w14:textId="77777777" w:rsidR="0057018B" w:rsidRPr="0044619A" w:rsidRDefault="0057018B" w:rsidP="001E6BE6">
      <w:pPr>
        <w:pStyle w:val="Nagwek3"/>
        <w:spacing w:before="120"/>
        <w:rPr>
          <w:b/>
          <w:bCs w:val="0"/>
        </w:rPr>
      </w:pPr>
      <w:r w:rsidRPr="0044619A">
        <w:rPr>
          <w:b/>
          <w:bCs w:val="0"/>
        </w:rPr>
        <w:t>Otrzymują:</w:t>
      </w:r>
    </w:p>
    <w:p w14:paraId="4D40FC67" w14:textId="77777777" w:rsidR="0044619A" w:rsidRPr="0044619A" w:rsidRDefault="0044619A">
      <w:pPr>
        <w:numPr>
          <w:ilvl w:val="0"/>
          <w:numId w:val="2"/>
        </w:numPr>
        <w:spacing w:before="240" w:line="360" w:lineRule="auto"/>
        <w:rPr>
          <w:rFonts w:ascii="Arial" w:hAnsi="Arial" w:cs="Arial"/>
          <w:szCs w:val="24"/>
          <w:lang w:eastAsia="zh-CN"/>
        </w:rPr>
      </w:pPr>
      <w:r w:rsidRPr="0044619A">
        <w:rPr>
          <w:rFonts w:ascii="Arial" w:hAnsi="Arial" w:cs="Arial"/>
          <w:szCs w:val="24"/>
          <w:lang w:eastAsia="zh-CN"/>
        </w:rPr>
        <w:t>Adresaci;</w:t>
      </w:r>
    </w:p>
    <w:p w14:paraId="511FC991" w14:textId="77777777" w:rsidR="0044619A" w:rsidRPr="0044619A" w:rsidRDefault="0044619A">
      <w:pPr>
        <w:numPr>
          <w:ilvl w:val="0"/>
          <w:numId w:val="2"/>
        </w:numPr>
        <w:spacing w:before="240" w:line="360" w:lineRule="auto"/>
        <w:rPr>
          <w:rFonts w:ascii="Arial" w:hAnsi="Arial" w:cs="Arial"/>
          <w:szCs w:val="24"/>
          <w:lang w:eastAsia="zh-CN"/>
        </w:rPr>
      </w:pPr>
      <w:r w:rsidRPr="0044619A">
        <w:rPr>
          <w:rFonts w:ascii="Arial" w:hAnsi="Arial" w:cs="Arial"/>
          <w:szCs w:val="24"/>
          <w:lang w:eastAsia="zh-CN"/>
        </w:rPr>
        <w:t>Wydział BA;</w:t>
      </w:r>
    </w:p>
    <w:p w14:paraId="4B84AAD3" w14:textId="77777777" w:rsidR="0044619A" w:rsidRPr="0044619A" w:rsidRDefault="0044619A">
      <w:pPr>
        <w:numPr>
          <w:ilvl w:val="0"/>
          <w:numId w:val="2"/>
        </w:numPr>
        <w:spacing w:before="240" w:line="360" w:lineRule="auto"/>
        <w:rPr>
          <w:rFonts w:ascii="Arial" w:hAnsi="Arial" w:cs="Arial"/>
          <w:szCs w:val="24"/>
          <w:lang w:eastAsia="zh-CN"/>
        </w:rPr>
      </w:pPr>
      <w:r w:rsidRPr="0044619A">
        <w:rPr>
          <w:rFonts w:ascii="Arial" w:hAnsi="Arial" w:cs="Arial"/>
          <w:szCs w:val="24"/>
          <w:lang w:eastAsia="zh-CN"/>
        </w:rPr>
        <w:t>a/a (DK/PP - PO/MC).</w:t>
      </w:r>
    </w:p>
    <w:p w14:paraId="45A6F4A7" w14:textId="082D4838" w:rsidR="003B7C7E" w:rsidRPr="0044619A" w:rsidRDefault="003B7C7E" w:rsidP="006F1881">
      <w:pPr>
        <w:spacing w:before="240" w:line="360" w:lineRule="auto"/>
        <w:rPr>
          <w:rFonts w:ascii="Arial" w:hAnsi="Arial" w:cs="Arial"/>
          <w:szCs w:val="24"/>
        </w:rPr>
      </w:pPr>
      <w:r w:rsidRPr="0044619A">
        <w:rPr>
          <w:rFonts w:ascii="Arial" w:hAnsi="Arial" w:cs="Arial"/>
          <w:szCs w:val="24"/>
        </w:rPr>
        <w:t>PODKARPACKI WOJEWÓDZKI INSPEKTOR INSPEKCJI HANDLOWEJ Jerzy Szczepański</w:t>
      </w:r>
    </w:p>
    <w:sectPr w:rsidR="003B7C7E" w:rsidRPr="0044619A"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C69B" w14:textId="77777777" w:rsidR="00EA2CA9" w:rsidRDefault="00EA2CA9">
      <w:r>
        <w:separator/>
      </w:r>
    </w:p>
  </w:endnote>
  <w:endnote w:type="continuationSeparator" w:id="0">
    <w:p w14:paraId="2951D6C5" w14:textId="77777777" w:rsidR="00EA2CA9" w:rsidRDefault="00EA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AF7F" w14:textId="77777777" w:rsidR="00EA2CA9" w:rsidRDefault="00EA2CA9">
      <w:r>
        <w:separator/>
      </w:r>
    </w:p>
  </w:footnote>
  <w:footnote w:type="continuationSeparator" w:id="0">
    <w:p w14:paraId="0ABA8860" w14:textId="77777777" w:rsidR="00EA2CA9" w:rsidRDefault="00EA2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D8144B8"/>
    <w:multiLevelType w:val="hybridMultilevel"/>
    <w:tmpl w:val="089A5C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64E3C55"/>
    <w:multiLevelType w:val="hybridMultilevel"/>
    <w:tmpl w:val="0712860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7133463"/>
    <w:multiLevelType w:val="hybridMultilevel"/>
    <w:tmpl w:val="6BF03480"/>
    <w:lvl w:ilvl="0" w:tplc="2C5070C8">
      <w:start w:val="1"/>
      <w:numFmt w:val="decimal"/>
      <w:lvlText w:val="%1."/>
      <w:lvlJc w:val="left"/>
      <w:pPr>
        <w:ind w:left="3479" w:hanging="360"/>
      </w:pPr>
      <w:rPr>
        <w:rFonts w:hint="default"/>
        <w:b w:val="0"/>
        <w:sz w:val="24"/>
      </w:rPr>
    </w:lvl>
    <w:lvl w:ilvl="1" w:tplc="92343BA6">
      <w:start w:val="1"/>
      <w:numFmt w:val="decimal"/>
      <w:lvlText w:val="%2)"/>
      <w:lvlJc w:val="left"/>
      <w:pPr>
        <w:ind w:left="4199" w:hanging="360"/>
      </w:pPr>
      <w:rPr>
        <w:rFonts w:hint="default"/>
      </w:r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5" w15:restartNumberingAfterBreak="0">
    <w:nsid w:val="6A3F4635"/>
    <w:multiLevelType w:val="hybridMultilevel"/>
    <w:tmpl w:val="2206CC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B6431CB"/>
    <w:multiLevelType w:val="hybridMultilevel"/>
    <w:tmpl w:val="C84A5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E337AD"/>
    <w:multiLevelType w:val="hybridMultilevel"/>
    <w:tmpl w:val="2FA65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5997366">
    <w:abstractNumId w:val="4"/>
  </w:num>
  <w:num w:numId="2" w16cid:durableId="1286080391">
    <w:abstractNumId w:val="0"/>
  </w:num>
  <w:num w:numId="3" w16cid:durableId="1571041918">
    <w:abstractNumId w:val="3"/>
  </w:num>
  <w:num w:numId="4" w16cid:durableId="411660768">
    <w:abstractNumId w:val="5"/>
  </w:num>
  <w:num w:numId="5" w16cid:durableId="1694644186">
    <w:abstractNumId w:val="6"/>
  </w:num>
  <w:num w:numId="6" w16cid:durableId="1583221980">
    <w:abstractNumId w:val="7"/>
  </w:num>
  <w:num w:numId="7" w16cid:durableId="2741624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1557"/>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6FF6"/>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4619A"/>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1815"/>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5ADB"/>
    <w:rsid w:val="00E8629C"/>
    <w:rsid w:val="00E90701"/>
    <w:rsid w:val="00E92EEB"/>
    <w:rsid w:val="00E96EFC"/>
    <w:rsid w:val="00EA14D8"/>
    <w:rsid w:val="00EA2292"/>
    <w:rsid w:val="00EA25C1"/>
    <w:rsid w:val="00EA2CA9"/>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E85ADB"/>
    <w:pPr>
      <w:spacing w:after="200"/>
    </w:pPr>
    <w:rPr>
      <w:rFonts w:asciiTheme="minorHAnsi" w:eastAsiaTheme="minorHAnsi" w:hAnsiTheme="minorHAnsi" w:cstheme="minorBidi"/>
      <w:i/>
      <w:iCs/>
      <w:color w:val="44546A" w:themeColor="text2"/>
      <w:sz w:val="18"/>
      <w:szCs w:val="18"/>
      <w:lang w:eastAsia="en-US"/>
    </w:rPr>
  </w:style>
  <w:style w:type="character" w:customStyle="1" w:styleId="Domylnaczcionkaakapitu1">
    <w:name w:val="Domyślna czcionka akapitu1"/>
    <w:rsid w:val="00446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3252</Words>
  <Characters>19513</Characters>
  <Application>Microsoft Office Word</Application>
  <DocSecurity>2</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DK.8361.41.2022 z 1.07.2022 r.</dc:title>
  <dc:creator/>
  <cp:keywords>decyzja ceny</cp:keywords>
  <cp:lastModifiedBy/>
  <cp:revision>1</cp:revision>
  <dcterms:created xsi:type="dcterms:W3CDTF">2022-12-14T13:16:00Z</dcterms:created>
  <dcterms:modified xsi:type="dcterms:W3CDTF">2022-12-14T13:16:00Z</dcterms:modified>
</cp:coreProperties>
</file>