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CF7" w:rsidRDefault="004F1CF7" w:rsidP="004F1CF7">
      <w:pPr>
        <w:tabs>
          <w:tab w:val="left" w:pos="7560"/>
        </w:tabs>
        <w:spacing w:line="360" w:lineRule="auto"/>
        <w:ind w:firstLine="900"/>
        <w:jc w:val="both"/>
        <w:rPr>
          <w:rFonts w:ascii="Times New Roman" w:hAnsi="Times New Roman"/>
          <w:b/>
          <w:i/>
          <w:sz w:val="28"/>
          <w:szCs w:val="28"/>
        </w:rPr>
      </w:pPr>
      <w:bookmarkStart w:id="0" w:name="_GoBack"/>
      <w:r>
        <w:rPr>
          <w:rFonts w:ascii="Times New Roman" w:hAnsi="Times New Roman"/>
          <w:b/>
          <w:i/>
          <w:sz w:val="28"/>
          <w:szCs w:val="28"/>
        </w:rPr>
        <w:t>Informacja opisowa z działalności Stałego Sądu Polubownego przy Podkarpackim Wojewódzkim Inspektorze Inspekcji Handlowej za 2020 r.</w:t>
      </w:r>
    </w:p>
    <w:bookmarkEnd w:id="0"/>
    <w:p w:rsidR="004F1CF7" w:rsidRDefault="004F1CF7" w:rsidP="004F1CF7">
      <w:pPr>
        <w:tabs>
          <w:tab w:val="left" w:pos="7560"/>
        </w:tabs>
        <w:spacing w:line="360" w:lineRule="auto"/>
        <w:ind w:firstLine="900"/>
        <w:jc w:val="both"/>
        <w:rPr>
          <w:rFonts w:ascii="Times New Roman" w:hAnsi="Times New Roman"/>
          <w:b/>
          <w:i/>
          <w:sz w:val="28"/>
          <w:szCs w:val="28"/>
        </w:rPr>
      </w:pPr>
    </w:p>
    <w:p w:rsidR="004F1CF7" w:rsidRDefault="004F1CF7" w:rsidP="004F1CF7">
      <w:pPr>
        <w:tabs>
          <w:tab w:val="left" w:pos="7560"/>
        </w:tabs>
        <w:spacing w:line="360" w:lineRule="auto"/>
        <w:ind w:firstLine="900"/>
        <w:jc w:val="both"/>
        <w:rPr>
          <w:rFonts w:ascii="Times New Roman" w:hAnsi="Times New Roman"/>
          <w:sz w:val="24"/>
          <w:szCs w:val="24"/>
        </w:rPr>
      </w:pPr>
      <w:r>
        <w:rPr>
          <w:rFonts w:ascii="Times New Roman" w:hAnsi="Times New Roman"/>
          <w:sz w:val="24"/>
          <w:szCs w:val="24"/>
        </w:rPr>
        <w:t>W okresie od stycznia do 31 grudnia 2020 r.  do Stałego Sądu Polubownego przy Podkarpackim Wojewódzkim Inspektorze Inspekcji Handlowej wpłynęło 24 wnioski na łączną wartość 129 628,00 zł (słownie stu dwudziestu dziewięciu tysięcy sześćset dwudziestu ośmiu złotych).</w:t>
      </w:r>
    </w:p>
    <w:p w:rsidR="004F1CF7" w:rsidRDefault="004F1CF7" w:rsidP="004F1CF7">
      <w:pPr>
        <w:tabs>
          <w:tab w:val="left" w:pos="7560"/>
        </w:tabs>
        <w:spacing w:line="360" w:lineRule="auto"/>
        <w:ind w:firstLine="900"/>
        <w:jc w:val="both"/>
        <w:rPr>
          <w:rFonts w:ascii="Times New Roman" w:hAnsi="Times New Roman"/>
          <w:sz w:val="24"/>
          <w:szCs w:val="24"/>
        </w:rPr>
      </w:pPr>
      <w:r>
        <w:rPr>
          <w:rFonts w:ascii="Times New Roman" w:hAnsi="Times New Roman"/>
          <w:sz w:val="24"/>
          <w:szCs w:val="24"/>
        </w:rPr>
        <w:t>Poszczególne wnioski dotyczyły:</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ze sprzedaży sprzętu RTV i AGD 2 wnioski –  na wartość        1829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ze sprzedaży odzieży 2 wnioski – na wartość 820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ze sprzedaży obuwia 4 wnioski – na wartość 1099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ze sprzedaży samochodów i innych pojazdów 2 wnioski – na wartość 69700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ze sprzedaży innych artykułów przemysłowych 3 wnioski – na wartość 4353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 usługi edukacyjnej 1 wniosek – na wartość 1119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 usługi remontowo – budowlanej 3 wnioski – na wartość    40537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 usługi naprawiania samochodów i innych pojazdów 1 wniosek – na wartość 800 zł</w:t>
      </w:r>
    </w:p>
    <w:p w:rsidR="004F1CF7" w:rsidRDefault="004F1CF7" w:rsidP="004F1CF7">
      <w:pPr>
        <w:pStyle w:val="Akapitzlist"/>
        <w:numPr>
          <w:ilvl w:val="0"/>
          <w:numId w:val="1"/>
        </w:numPr>
        <w:tabs>
          <w:tab w:val="left" w:pos="7560"/>
        </w:tabs>
        <w:spacing w:line="360" w:lineRule="auto"/>
        <w:jc w:val="both"/>
        <w:rPr>
          <w:rFonts w:ascii="Times New Roman" w:hAnsi="Times New Roman"/>
          <w:sz w:val="24"/>
          <w:szCs w:val="24"/>
        </w:rPr>
      </w:pPr>
      <w:r>
        <w:rPr>
          <w:rFonts w:ascii="Times New Roman" w:hAnsi="Times New Roman"/>
          <w:sz w:val="24"/>
          <w:szCs w:val="24"/>
        </w:rPr>
        <w:t>sporu wynikłego z innych usług 6 wniosków – na wartość 9371 zł</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W omawianym okresie merytorycznie rozpoznano 17 wniosków (których wnioskodawcą był konsument) w następujący sposób:</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zwrot wniosku, gdy druga strona nie udzieliła odpowiedzi:</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dotyczące obuwia - 2 wnioski </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dotyczące innych artykułów przemysłowych – 2 wnioski</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dotyczące  usług edukacyjnych – 1 wniosek</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dotyczące usługi remontowo – budowlanej – 1 wniosek</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dotyczące innych usług – 1 wniosek</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zwrot wniosku, gdyż rozpatrzenie spowodowałoby poważne zakłócenie pracy SSP:</w:t>
      </w:r>
    </w:p>
    <w:p w:rsidR="004F1CF7" w:rsidRDefault="004F1CF7" w:rsidP="004F1CF7">
      <w:pPr>
        <w:pStyle w:val="Akapitzlist"/>
        <w:numPr>
          <w:ilvl w:val="0"/>
          <w:numId w:val="3"/>
        </w:numPr>
        <w:tabs>
          <w:tab w:val="left" w:pos="7560"/>
        </w:tabs>
        <w:spacing w:line="360" w:lineRule="auto"/>
        <w:jc w:val="both"/>
        <w:rPr>
          <w:rFonts w:ascii="Times New Roman" w:hAnsi="Times New Roman"/>
          <w:sz w:val="24"/>
          <w:szCs w:val="24"/>
        </w:rPr>
      </w:pPr>
      <w:r>
        <w:rPr>
          <w:rFonts w:ascii="Times New Roman" w:hAnsi="Times New Roman"/>
          <w:sz w:val="24"/>
          <w:szCs w:val="24"/>
        </w:rPr>
        <w:t>dotyczące usługi remontowo - budowlanej – 1 wniosek</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pozostawienie wniosku bez dalszego biegu:</w:t>
      </w:r>
    </w:p>
    <w:p w:rsidR="004F1CF7" w:rsidRDefault="004F1CF7" w:rsidP="004F1CF7">
      <w:pPr>
        <w:pStyle w:val="Akapitzlist"/>
        <w:numPr>
          <w:ilvl w:val="0"/>
          <w:numId w:val="3"/>
        </w:numPr>
        <w:tabs>
          <w:tab w:val="left" w:pos="7560"/>
        </w:tabs>
        <w:spacing w:line="360" w:lineRule="auto"/>
        <w:jc w:val="both"/>
        <w:rPr>
          <w:rFonts w:ascii="Times New Roman" w:hAnsi="Times New Roman"/>
          <w:sz w:val="24"/>
          <w:szCs w:val="24"/>
        </w:rPr>
      </w:pPr>
      <w:r>
        <w:rPr>
          <w:rFonts w:ascii="Times New Roman" w:hAnsi="Times New Roman"/>
          <w:sz w:val="24"/>
          <w:szCs w:val="24"/>
        </w:rPr>
        <w:lastRenderedPageBreak/>
        <w:t>dotyczące sprzętu RTV i AGD – 1 wniosek</w:t>
      </w:r>
    </w:p>
    <w:p w:rsidR="004F1CF7" w:rsidRDefault="004F1CF7" w:rsidP="004F1CF7">
      <w:pPr>
        <w:pStyle w:val="Akapitzlist"/>
        <w:numPr>
          <w:ilvl w:val="0"/>
          <w:numId w:val="3"/>
        </w:numPr>
        <w:tabs>
          <w:tab w:val="left" w:pos="7560"/>
        </w:tabs>
        <w:spacing w:line="360" w:lineRule="auto"/>
        <w:jc w:val="both"/>
        <w:rPr>
          <w:rFonts w:ascii="Times New Roman" w:hAnsi="Times New Roman"/>
          <w:sz w:val="24"/>
          <w:szCs w:val="24"/>
        </w:rPr>
      </w:pPr>
      <w:r>
        <w:rPr>
          <w:rFonts w:ascii="Times New Roman" w:hAnsi="Times New Roman"/>
          <w:sz w:val="24"/>
          <w:szCs w:val="24"/>
        </w:rPr>
        <w:t>dotyczące innych usług – 1 wniosek</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ugody w postępowaniu wstępnym:</w:t>
      </w:r>
    </w:p>
    <w:p w:rsidR="004F1CF7" w:rsidRDefault="004F1CF7" w:rsidP="004F1CF7">
      <w:pPr>
        <w:pStyle w:val="Akapitzlist"/>
        <w:numPr>
          <w:ilvl w:val="0"/>
          <w:numId w:val="4"/>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obuwia – 1 wniosek</w:t>
      </w:r>
    </w:p>
    <w:p w:rsidR="004F1CF7" w:rsidRDefault="004F1CF7" w:rsidP="004F1CF7">
      <w:pPr>
        <w:pStyle w:val="Akapitzlist"/>
        <w:numPr>
          <w:ilvl w:val="0"/>
          <w:numId w:val="4"/>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samochodów i innych pojazdów – 1 wniosek</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zwrot wniosku z powodu odmowy zapisu:</w:t>
      </w:r>
    </w:p>
    <w:p w:rsidR="004F1CF7" w:rsidRDefault="004F1CF7" w:rsidP="004F1CF7">
      <w:pPr>
        <w:pStyle w:val="Akapitzlist"/>
        <w:numPr>
          <w:ilvl w:val="0"/>
          <w:numId w:val="5"/>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odzieży – 2 wnioski</w:t>
      </w:r>
    </w:p>
    <w:p w:rsidR="004F1CF7" w:rsidRDefault="004F1CF7" w:rsidP="004F1CF7">
      <w:pPr>
        <w:pStyle w:val="Akapitzlist"/>
        <w:numPr>
          <w:ilvl w:val="0"/>
          <w:numId w:val="5"/>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obuwia – 1 wnioski</w:t>
      </w:r>
    </w:p>
    <w:p w:rsidR="004F1CF7" w:rsidRDefault="004F1CF7" w:rsidP="004F1CF7">
      <w:pPr>
        <w:pStyle w:val="Akapitzlist"/>
        <w:numPr>
          <w:ilvl w:val="0"/>
          <w:numId w:val="5"/>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samochodów i innych pojazdów – 1 wniosek</w:t>
      </w:r>
    </w:p>
    <w:p w:rsidR="004F1CF7" w:rsidRDefault="004F1CF7" w:rsidP="004F1CF7">
      <w:pPr>
        <w:pStyle w:val="Akapitzlist"/>
        <w:numPr>
          <w:ilvl w:val="0"/>
          <w:numId w:val="5"/>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innych usług – 1 wniosek</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Ponadto do załatwienia w 2021 r. pozostało 2 wnioski: 1 dotyczący  innych artykułów przemysłowych na kwotę 903 zł, drugi dotyczący usługi naprawiania samochodów i innych pojazdów na kwotę 800 zł.</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W omawianym okresie rozpoznano również 4 wnioski, których wnioskodawcami byli przedsiębiorcy. Sprawy rozpoznano w następujący sposób:</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 zwrot wniosku, gdyż przedmiot sporu wykracza poza kategorię sporów objętych właściwością SSP:</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usługi remontowo – budowlanej – 1 wniosek</w:t>
      </w:r>
    </w:p>
    <w:p w:rsidR="004F1CF7" w:rsidRDefault="004F1CF7" w:rsidP="004F1CF7">
      <w:pPr>
        <w:pStyle w:val="Akapitzlist"/>
        <w:numPr>
          <w:ilvl w:val="0"/>
          <w:numId w:val="2"/>
        </w:numPr>
        <w:tabs>
          <w:tab w:val="left" w:pos="7560"/>
        </w:tabs>
        <w:spacing w:line="360" w:lineRule="auto"/>
        <w:jc w:val="both"/>
        <w:rPr>
          <w:rFonts w:ascii="Times New Roman" w:hAnsi="Times New Roman"/>
          <w:sz w:val="24"/>
          <w:szCs w:val="24"/>
        </w:rPr>
      </w:pPr>
      <w:r>
        <w:rPr>
          <w:rFonts w:ascii="Times New Roman" w:hAnsi="Times New Roman"/>
          <w:sz w:val="24"/>
          <w:szCs w:val="24"/>
        </w:rPr>
        <w:t>dotyczący innych usług – 3 wnioski</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Do załatwienia w 2021 r. pozostał 1 wniosek dotyczący sprzętu RTV i AGD na kwotę 1630 zł.</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Z poprzedniego okresu do załatwienia pozostał: 1 wniosek dotyczący usługi remontowo– budowlanej na kwotę 11983 zł - sprawa zakończyła się wyrokiem oddalającym, oraz 1 wniosek dotyczący obuwia na kwotę 285 zł, gdzie przedsiębiorca nie wyraził zgody na rozpatrzenie sprawy i zwrócono wniosek powodowi.</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Najczęstszym powodem sporów konsumenckich toczących się przed tut. Sądem było nieuznanie reklamacji towarów i usług. </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Ponadto:</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w omawianym okresie nie było przypadków, aby przedsiębiorca oprócz wyrażenia zgody na sąd jednocześnie składał propozycję ugody, </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w omawianym okresie nie odbyła się żadna  rozprawa ( jedynie odbyło się  1 posiedzenie kończące postępowanie w sprawie z 2019r.) , </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lastRenderedPageBreak/>
        <w:t>- termin  załatwienia sprawy od chwili wpłynięcia wniosku do zakończenia sprawy wynosił około 34 dni,</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nie ma przedsiębiorców, którzy zawsze wyrażają zgodę na SSP,</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są firmy, które nie poddają się orzecznictwu SSP - Sąd nie posiada wiedzy z jakiego powodu,</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w omawianym okresie sąd nie korzystał z opinii rzeczoznawcy ds. jakości towarów lub usług - Sąd nie posiada arbitrów od konkretnych rodzajów spraw.</w:t>
      </w: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w:t>
      </w:r>
    </w:p>
    <w:p w:rsidR="004F1CF7" w:rsidRDefault="004F1CF7" w:rsidP="004F1CF7">
      <w:pPr>
        <w:tabs>
          <w:tab w:val="left" w:pos="7560"/>
        </w:tabs>
        <w:spacing w:line="360" w:lineRule="auto"/>
        <w:jc w:val="both"/>
        <w:rPr>
          <w:rFonts w:ascii="Times New Roman" w:hAnsi="Times New Roman"/>
          <w:sz w:val="24"/>
          <w:szCs w:val="24"/>
        </w:rPr>
      </w:pPr>
    </w:p>
    <w:p w:rsidR="004F1CF7" w:rsidRDefault="004F1CF7" w:rsidP="004F1CF7">
      <w:pPr>
        <w:tabs>
          <w:tab w:val="left" w:pos="7560"/>
        </w:tabs>
        <w:spacing w:line="360" w:lineRule="auto"/>
        <w:jc w:val="both"/>
        <w:rPr>
          <w:rFonts w:ascii="Times New Roman" w:hAnsi="Times New Roman"/>
          <w:sz w:val="18"/>
          <w:szCs w:val="18"/>
        </w:rPr>
      </w:pPr>
      <w:r>
        <w:rPr>
          <w:rFonts w:ascii="Times New Roman" w:hAnsi="Times New Roman"/>
          <w:sz w:val="18"/>
          <w:szCs w:val="18"/>
        </w:rPr>
        <w:t>Załącznik:</w:t>
      </w:r>
    </w:p>
    <w:p w:rsidR="004F1CF7" w:rsidRDefault="004F1CF7" w:rsidP="004F1CF7">
      <w:pPr>
        <w:tabs>
          <w:tab w:val="left" w:pos="7560"/>
        </w:tabs>
        <w:spacing w:line="360" w:lineRule="auto"/>
        <w:jc w:val="both"/>
        <w:rPr>
          <w:rFonts w:ascii="Times New Roman" w:hAnsi="Times New Roman"/>
          <w:sz w:val="18"/>
          <w:szCs w:val="18"/>
        </w:rPr>
      </w:pPr>
      <w:r>
        <w:rPr>
          <w:rFonts w:ascii="Times New Roman" w:hAnsi="Times New Roman"/>
          <w:sz w:val="18"/>
          <w:szCs w:val="18"/>
        </w:rPr>
        <w:t>Zestawienie liczbowe</w:t>
      </w:r>
    </w:p>
    <w:p w:rsidR="004F1CF7" w:rsidRDefault="004F1CF7" w:rsidP="004F1CF7">
      <w:pPr>
        <w:tabs>
          <w:tab w:val="left" w:pos="7560"/>
        </w:tabs>
        <w:spacing w:line="360" w:lineRule="auto"/>
        <w:jc w:val="both"/>
        <w:rPr>
          <w:rFonts w:ascii="Times New Roman" w:hAnsi="Times New Roman"/>
          <w:sz w:val="18"/>
          <w:szCs w:val="18"/>
        </w:rPr>
      </w:pPr>
      <w:r>
        <w:rPr>
          <w:rFonts w:ascii="Times New Roman" w:hAnsi="Times New Roman"/>
          <w:sz w:val="18"/>
          <w:szCs w:val="18"/>
        </w:rPr>
        <w:t>Sporządziła: K. Pruc – sekretarz SSP</w:t>
      </w:r>
    </w:p>
    <w:p w:rsidR="004F1CF7" w:rsidRDefault="004F1CF7" w:rsidP="004F1CF7">
      <w:pPr>
        <w:tabs>
          <w:tab w:val="left" w:pos="7560"/>
        </w:tabs>
        <w:spacing w:line="360" w:lineRule="auto"/>
        <w:jc w:val="both"/>
        <w:rPr>
          <w:rFonts w:ascii="Times New Roman" w:hAnsi="Times New Roman"/>
          <w:sz w:val="24"/>
          <w:szCs w:val="24"/>
        </w:rPr>
      </w:pPr>
    </w:p>
    <w:p w:rsidR="004F1CF7" w:rsidRDefault="004F1CF7" w:rsidP="004F1CF7">
      <w:pPr>
        <w:tabs>
          <w:tab w:val="left" w:pos="7560"/>
        </w:tabs>
        <w:spacing w:line="360" w:lineRule="auto"/>
        <w:jc w:val="both"/>
        <w:rPr>
          <w:rFonts w:ascii="Times New Roman" w:hAnsi="Times New Roman"/>
          <w:sz w:val="24"/>
          <w:szCs w:val="24"/>
        </w:rPr>
      </w:pPr>
    </w:p>
    <w:p w:rsidR="004F1CF7" w:rsidRDefault="004F1CF7" w:rsidP="004F1CF7">
      <w:pPr>
        <w:tabs>
          <w:tab w:val="left" w:pos="7560"/>
        </w:tabs>
        <w:spacing w:line="360" w:lineRule="auto"/>
        <w:jc w:val="both"/>
        <w:rPr>
          <w:rFonts w:ascii="Times New Roman" w:hAnsi="Times New Roman"/>
          <w:sz w:val="24"/>
          <w:szCs w:val="24"/>
        </w:rPr>
      </w:pPr>
      <w:r>
        <w:rPr>
          <w:rFonts w:ascii="Times New Roman" w:hAnsi="Times New Roman"/>
          <w:sz w:val="24"/>
          <w:szCs w:val="24"/>
        </w:rPr>
        <w:t xml:space="preserve">      </w:t>
      </w:r>
    </w:p>
    <w:p w:rsidR="00CF0557" w:rsidRDefault="00CF0557"/>
    <w:sectPr w:rsidR="00CF05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6B89"/>
    <w:multiLevelType w:val="hybridMultilevel"/>
    <w:tmpl w:val="E4924E6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2FCD13EA"/>
    <w:multiLevelType w:val="hybridMultilevel"/>
    <w:tmpl w:val="4F8AB3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3CBB115A"/>
    <w:multiLevelType w:val="hybridMultilevel"/>
    <w:tmpl w:val="A734065E"/>
    <w:lvl w:ilvl="0" w:tplc="04150005">
      <w:start w:val="1"/>
      <w:numFmt w:val="bullet"/>
      <w:lvlText w:val=""/>
      <w:lvlJc w:val="left"/>
      <w:pPr>
        <w:ind w:left="1320" w:hanging="360"/>
      </w:pPr>
      <w:rPr>
        <w:rFonts w:ascii="Wingdings" w:hAnsi="Wingdings" w:hint="default"/>
      </w:rPr>
    </w:lvl>
    <w:lvl w:ilvl="1" w:tplc="04150003">
      <w:start w:val="1"/>
      <w:numFmt w:val="bullet"/>
      <w:lvlText w:val="o"/>
      <w:lvlJc w:val="left"/>
      <w:pPr>
        <w:ind w:left="2040" w:hanging="360"/>
      </w:pPr>
      <w:rPr>
        <w:rFonts w:ascii="Courier New" w:hAnsi="Courier New" w:cs="Courier New" w:hint="default"/>
      </w:rPr>
    </w:lvl>
    <w:lvl w:ilvl="2" w:tplc="04150005">
      <w:start w:val="1"/>
      <w:numFmt w:val="bullet"/>
      <w:lvlText w:val=""/>
      <w:lvlJc w:val="left"/>
      <w:pPr>
        <w:ind w:left="2760" w:hanging="360"/>
      </w:pPr>
      <w:rPr>
        <w:rFonts w:ascii="Wingdings" w:hAnsi="Wingdings" w:hint="default"/>
      </w:rPr>
    </w:lvl>
    <w:lvl w:ilvl="3" w:tplc="04150001">
      <w:start w:val="1"/>
      <w:numFmt w:val="bullet"/>
      <w:lvlText w:val=""/>
      <w:lvlJc w:val="left"/>
      <w:pPr>
        <w:ind w:left="3480" w:hanging="360"/>
      </w:pPr>
      <w:rPr>
        <w:rFonts w:ascii="Symbol" w:hAnsi="Symbol" w:hint="default"/>
      </w:rPr>
    </w:lvl>
    <w:lvl w:ilvl="4" w:tplc="04150003">
      <w:start w:val="1"/>
      <w:numFmt w:val="bullet"/>
      <w:lvlText w:val="o"/>
      <w:lvlJc w:val="left"/>
      <w:pPr>
        <w:ind w:left="4200" w:hanging="360"/>
      </w:pPr>
      <w:rPr>
        <w:rFonts w:ascii="Courier New" w:hAnsi="Courier New" w:cs="Courier New" w:hint="default"/>
      </w:rPr>
    </w:lvl>
    <w:lvl w:ilvl="5" w:tplc="04150005">
      <w:start w:val="1"/>
      <w:numFmt w:val="bullet"/>
      <w:lvlText w:val=""/>
      <w:lvlJc w:val="left"/>
      <w:pPr>
        <w:ind w:left="4920" w:hanging="360"/>
      </w:pPr>
      <w:rPr>
        <w:rFonts w:ascii="Wingdings" w:hAnsi="Wingdings" w:hint="default"/>
      </w:rPr>
    </w:lvl>
    <w:lvl w:ilvl="6" w:tplc="04150001">
      <w:start w:val="1"/>
      <w:numFmt w:val="bullet"/>
      <w:lvlText w:val=""/>
      <w:lvlJc w:val="left"/>
      <w:pPr>
        <w:ind w:left="5640" w:hanging="360"/>
      </w:pPr>
      <w:rPr>
        <w:rFonts w:ascii="Symbol" w:hAnsi="Symbol" w:hint="default"/>
      </w:rPr>
    </w:lvl>
    <w:lvl w:ilvl="7" w:tplc="04150003">
      <w:start w:val="1"/>
      <w:numFmt w:val="bullet"/>
      <w:lvlText w:val="o"/>
      <w:lvlJc w:val="left"/>
      <w:pPr>
        <w:ind w:left="6360" w:hanging="360"/>
      </w:pPr>
      <w:rPr>
        <w:rFonts w:ascii="Courier New" w:hAnsi="Courier New" w:cs="Courier New" w:hint="default"/>
      </w:rPr>
    </w:lvl>
    <w:lvl w:ilvl="8" w:tplc="04150005">
      <w:start w:val="1"/>
      <w:numFmt w:val="bullet"/>
      <w:lvlText w:val=""/>
      <w:lvlJc w:val="left"/>
      <w:pPr>
        <w:ind w:left="7080" w:hanging="360"/>
      </w:pPr>
      <w:rPr>
        <w:rFonts w:ascii="Wingdings" w:hAnsi="Wingdings" w:hint="default"/>
      </w:rPr>
    </w:lvl>
  </w:abstractNum>
  <w:abstractNum w:abstractNumId="3">
    <w:nsid w:val="4AD46625"/>
    <w:multiLevelType w:val="hybridMultilevel"/>
    <w:tmpl w:val="EFE4A9B4"/>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nsid w:val="7B54279D"/>
    <w:multiLevelType w:val="hybridMultilevel"/>
    <w:tmpl w:val="A69E7B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F7"/>
    <w:rsid w:val="002C2C86"/>
    <w:rsid w:val="004F1CF7"/>
    <w:rsid w:val="005B0BA9"/>
    <w:rsid w:val="00CD5B6E"/>
    <w:rsid w:val="00CF05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CF7"/>
    <w:pPr>
      <w:spacing w:after="0" w:line="240" w:lineRule="auto"/>
    </w:pPr>
    <w:rPr>
      <w:rFonts w:ascii="Bookman Old Style" w:eastAsia="Times New Roman" w:hAnsi="Bookman Old Style"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1C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F1CF7"/>
    <w:pPr>
      <w:spacing w:after="0" w:line="240" w:lineRule="auto"/>
    </w:pPr>
    <w:rPr>
      <w:rFonts w:ascii="Bookman Old Style" w:eastAsia="Times New Roman" w:hAnsi="Bookman Old Style"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1C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1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3358</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Pruc</dc:creator>
  <cp:lastModifiedBy>Marcin Ożóg</cp:lastModifiedBy>
  <cp:revision>2</cp:revision>
  <dcterms:created xsi:type="dcterms:W3CDTF">2021-01-25T06:40:00Z</dcterms:created>
  <dcterms:modified xsi:type="dcterms:W3CDTF">2021-01-25T06:40:00Z</dcterms:modified>
</cp:coreProperties>
</file>