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5095A7" w14:textId="77777777" w:rsidR="00E21CE3" w:rsidRDefault="00E21CE3" w:rsidP="00014849">
      <w:pPr>
        <w:autoSpaceDE w:val="0"/>
        <w:autoSpaceDN w:val="0"/>
        <w:adjustRightInd w:val="0"/>
        <w:spacing w:line="312" w:lineRule="auto"/>
        <w:jc w:val="left"/>
        <w:rPr>
          <w:rFonts w:eastAsia="Times New Roman" w:cs="TrebuchetMS"/>
        </w:rPr>
      </w:pPr>
      <w:bookmarkStart w:id="0" w:name="ezdPracownikNazwa"/>
      <w:bookmarkStart w:id="1" w:name="_GoBack"/>
      <w:bookmarkEnd w:id="1"/>
    </w:p>
    <w:p w14:paraId="028A1BF6" w14:textId="77777777" w:rsidR="00E21CE3" w:rsidRDefault="00E21CE3" w:rsidP="00E21CE3">
      <w:pPr>
        <w:autoSpaceDE w:val="0"/>
        <w:autoSpaceDN w:val="0"/>
        <w:adjustRightInd w:val="0"/>
        <w:spacing w:line="312" w:lineRule="auto"/>
        <w:jc w:val="left"/>
        <w:rPr>
          <w:rFonts w:eastAsia="Times New Roman" w:cs="TrebuchetMS"/>
        </w:rPr>
      </w:pPr>
    </w:p>
    <w:p w14:paraId="075F5C40" w14:textId="77777777" w:rsidR="00E21CE3" w:rsidRPr="00014849" w:rsidRDefault="00E21CE3" w:rsidP="00014849">
      <w:pPr>
        <w:autoSpaceDE w:val="0"/>
        <w:autoSpaceDN w:val="0"/>
        <w:adjustRightInd w:val="0"/>
        <w:spacing w:after="120" w:line="276" w:lineRule="auto"/>
        <w:jc w:val="center"/>
        <w:rPr>
          <w:rFonts w:eastAsia="Times New Roman" w:cs="TrebuchetMS"/>
          <w:b/>
        </w:rPr>
      </w:pPr>
      <w:r w:rsidRPr="00014849">
        <w:rPr>
          <w:rFonts w:eastAsia="Times New Roman" w:cs="TrebuchetMS"/>
          <w:b/>
        </w:rPr>
        <w:t xml:space="preserve">Sprawozdanie </w:t>
      </w:r>
      <w:r w:rsidR="00014849" w:rsidRPr="00014849">
        <w:rPr>
          <w:rFonts w:eastAsia="Times New Roman" w:cs="TrebuchetMS"/>
          <w:b/>
        </w:rPr>
        <w:t xml:space="preserve"> </w:t>
      </w:r>
      <w:r w:rsidRPr="00014849">
        <w:rPr>
          <w:rFonts w:eastAsia="Times New Roman" w:cs="TrebuchetMS"/>
          <w:b/>
        </w:rPr>
        <w:t>z działalności Inspekcji Handlowej jako podmiotu ADR za 202</w:t>
      </w:r>
      <w:r w:rsidR="00C04C97" w:rsidRPr="00014849">
        <w:rPr>
          <w:rFonts w:eastAsia="Times New Roman" w:cs="TrebuchetMS"/>
          <w:b/>
        </w:rPr>
        <w:t>2</w:t>
      </w:r>
      <w:r w:rsidR="00014849" w:rsidRPr="00014849">
        <w:rPr>
          <w:rFonts w:eastAsia="Times New Roman" w:cs="TrebuchetMS"/>
          <w:b/>
        </w:rPr>
        <w:t xml:space="preserve"> r.</w:t>
      </w:r>
    </w:p>
    <w:p w14:paraId="7062B959" w14:textId="77777777" w:rsidR="00E21CE3" w:rsidRPr="00014849" w:rsidRDefault="00E21CE3" w:rsidP="00014849">
      <w:pPr>
        <w:autoSpaceDE w:val="0"/>
        <w:autoSpaceDN w:val="0"/>
        <w:adjustRightInd w:val="0"/>
        <w:spacing w:after="120" w:line="276" w:lineRule="auto"/>
        <w:rPr>
          <w:rFonts w:eastAsia="Times New Roman" w:cs="TrebuchetMS"/>
        </w:rPr>
      </w:pPr>
      <w:r w:rsidRPr="00014849">
        <w:rPr>
          <w:rFonts w:eastAsia="Times New Roman" w:cs="TrebuchetMS"/>
        </w:rPr>
        <w:t>Zgodnie z art. 11 ustawy z dnia z dnia 23 września 2016 r.</w:t>
      </w:r>
      <w:r w:rsidRPr="00014849">
        <w:rPr>
          <w:rFonts w:eastAsia="Times New Roman"/>
        </w:rPr>
        <w:t xml:space="preserve"> </w:t>
      </w:r>
      <w:r w:rsidRPr="00014849">
        <w:rPr>
          <w:rFonts w:eastAsia="Times New Roman" w:cs="TrebuchetMS"/>
        </w:rPr>
        <w:t>o pozasądowym rozwiązywaniu sporów konsumenckich (Dz. U. z 2016 r. poz. 1823)</w:t>
      </w:r>
      <w:r w:rsidR="00014849">
        <w:rPr>
          <w:rFonts w:eastAsia="Times New Roman" w:cs="TrebuchetMS"/>
        </w:rPr>
        <w:t>,</w:t>
      </w:r>
      <w:r w:rsidRPr="00014849">
        <w:rPr>
          <w:rFonts w:eastAsia="Times New Roman" w:cs="TrebuchetMS"/>
        </w:rPr>
        <w:t xml:space="preserve"> Inspekcja Handlowa ma obowiązek sporządzić  sprawozdanie z działalności wojewódzkich inspektoratów Inspekcji Handlowej jako podmiotu ADR.</w:t>
      </w:r>
    </w:p>
    <w:p w14:paraId="166D81B6" w14:textId="1A1710FB" w:rsidR="00E21CE3" w:rsidRPr="00014849" w:rsidRDefault="00E21CE3" w:rsidP="00014849">
      <w:pPr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rPr>
          <w:rFonts w:eastAsia="Times New Roman" w:cs="TrebuchetMS"/>
          <w:b/>
        </w:rPr>
      </w:pPr>
      <w:r w:rsidRPr="00014849">
        <w:rPr>
          <w:rFonts w:eastAsia="Times New Roman" w:cs="TrebuchetMS"/>
          <w:b/>
        </w:rPr>
        <w:t>Informacja o liczbie wniosków o wszczęcie postępowania w sprawie pozasądowego rozwiązywania sporów konsumenckich</w:t>
      </w:r>
      <w:r w:rsidR="00D179D2">
        <w:rPr>
          <w:rFonts w:eastAsia="Times New Roman" w:cs="TrebuchetMS"/>
          <w:b/>
        </w:rPr>
        <w:t xml:space="preserve"> (wnioski ADR)</w:t>
      </w:r>
      <w:r w:rsidRPr="00014849">
        <w:rPr>
          <w:rFonts w:eastAsia="Times New Roman" w:cs="TrebuchetMS"/>
          <w:b/>
        </w:rPr>
        <w:t>, które wpłynęły do podmiotu uprawnionego oraz wskazanie ich przedmiotu</w:t>
      </w:r>
    </w:p>
    <w:p w14:paraId="0215ED86" w14:textId="77777777" w:rsidR="00E21CE3" w:rsidRPr="00014849" w:rsidRDefault="00E21CE3" w:rsidP="00014849">
      <w:pPr>
        <w:autoSpaceDE w:val="0"/>
        <w:autoSpaceDN w:val="0"/>
        <w:adjustRightInd w:val="0"/>
        <w:spacing w:after="120" w:line="276" w:lineRule="auto"/>
        <w:ind w:left="284"/>
        <w:rPr>
          <w:rFonts w:eastAsia="Times New Roman" w:cs="TrebuchetMS"/>
        </w:rPr>
      </w:pPr>
      <w:r w:rsidRPr="00014849">
        <w:rPr>
          <w:rFonts w:eastAsia="Times New Roman" w:cs="TrebuchetMS"/>
        </w:rPr>
        <w:t>Do podmiotu uprawnionego, którym jest Inspekcja Handlowa reprezentowana</w:t>
      </w:r>
      <w:r w:rsidRPr="00014849">
        <w:rPr>
          <w:rFonts w:eastAsia="Times New Roman" w:cs="TrebuchetMS"/>
        </w:rPr>
        <w:br/>
        <w:t xml:space="preserve">w każdym województwie przez </w:t>
      </w:r>
      <w:r w:rsidR="00014849">
        <w:rPr>
          <w:rFonts w:eastAsia="Times New Roman" w:cs="TrebuchetMS"/>
        </w:rPr>
        <w:t>w</w:t>
      </w:r>
      <w:r w:rsidRPr="00014849">
        <w:rPr>
          <w:rFonts w:eastAsia="Times New Roman" w:cs="TrebuchetMS"/>
        </w:rPr>
        <w:t xml:space="preserve">ojewódzkiego </w:t>
      </w:r>
      <w:r w:rsidR="00014849">
        <w:rPr>
          <w:rFonts w:eastAsia="Times New Roman" w:cs="TrebuchetMS"/>
        </w:rPr>
        <w:t>i</w:t>
      </w:r>
      <w:r w:rsidRPr="00014849">
        <w:rPr>
          <w:rFonts w:eastAsia="Times New Roman" w:cs="TrebuchetMS"/>
        </w:rPr>
        <w:t xml:space="preserve">nspektora Inspekcji Handlowej (WIIH) wpłynęło łącznie </w:t>
      </w:r>
      <w:r w:rsidRPr="00014849">
        <w:rPr>
          <w:rFonts w:eastAsia="Times New Roman" w:cs="TrebuchetMS"/>
          <w:b/>
        </w:rPr>
        <w:t>4</w:t>
      </w:r>
      <w:r w:rsidR="006E37AE" w:rsidRPr="00014849">
        <w:rPr>
          <w:rFonts w:eastAsia="Times New Roman" w:cs="TrebuchetMS"/>
          <w:b/>
        </w:rPr>
        <w:t>2</w:t>
      </w:r>
      <w:r w:rsidR="00931FF8" w:rsidRPr="00014849">
        <w:rPr>
          <w:rFonts w:eastAsia="Times New Roman" w:cs="TrebuchetMS"/>
          <w:b/>
        </w:rPr>
        <w:t>96</w:t>
      </w:r>
      <w:r w:rsidRPr="00014849">
        <w:rPr>
          <w:rFonts w:eastAsia="Times New Roman" w:cs="TrebuchetMS"/>
        </w:rPr>
        <w:t xml:space="preserve"> </w:t>
      </w:r>
      <w:r w:rsidRPr="00014849">
        <w:rPr>
          <w:rFonts w:eastAsia="Times New Roman" w:cs="TrebuchetMS"/>
          <w:b/>
        </w:rPr>
        <w:t>wniosków</w:t>
      </w:r>
      <w:r w:rsidRPr="00014849">
        <w:rPr>
          <w:rFonts w:eastAsia="Times New Roman" w:cs="TrebuchetMS"/>
        </w:rPr>
        <w:t xml:space="preserve">. </w:t>
      </w:r>
    </w:p>
    <w:p w14:paraId="1E45EF52" w14:textId="77777777" w:rsidR="00E21CE3" w:rsidRPr="00014849" w:rsidRDefault="00E21CE3" w:rsidP="00014849">
      <w:pPr>
        <w:autoSpaceDE w:val="0"/>
        <w:autoSpaceDN w:val="0"/>
        <w:adjustRightInd w:val="0"/>
        <w:spacing w:after="120" w:line="276" w:lineRule="auto"/>
        <w:ind w:left="284"/>
        <w:rPr>
          <w:rFonts w:eastAsia="Times New Roman" w:cs="TrebuchetMS"/>
        </w:rPr>
      </w:pPr>
      <w:r w:rsidRPr="00014849">
        <w:rPr>
          <w:rFonts w:eastAsia="Times New Roman" w:cs="TrebuchetMS"/>
        </w:rPr>
        <w:t>Większość wniosków, tj. 3</w:t>
      </w:r>
      <w:r w:rsidR="00C622A2" w:rsidRPr="00014849">
        <w:rPr>
          <w:rFonts w:eastAsia="Times New Roman" w:cs="TrebuchetMS"/>
        </w:rPr>
        <w:t>48</w:t>
      </w:r>
      <w:r w:rsidR="0048385C" w:rsidRPr="00014849">
        <w:rPr>
          <w:rFonts w:eastAsia="Times New Roman" w:cs="TrebuchetMS"/>
        </w:rPr>
        <w:t>4</w:t>
      </w:r>
      <w:r w:rsidRPr="00014849">
        <w:rPr>
          <w:rFonts w:eastAsia="Times New Roman" w:cs="TrebuchetMS"/>
        </w:rPr>
        <w:t xml:space="preserve"> dotyczyło artykułów przemysłowych, w tym 104</w:t>
      </w:r>
      <w:r w:rsidR="00C622A2" w:rsidRPr="00014849">
        <w:rPr>
          <w:rFonts w:eastAsia="Times New Roman" w:cs="TrebuchetMS"/>
        </w:rPr>
        <w:t>7</w:t>
      </w:r>
      <w:r w:rsidRPr="00014849">
        <w:rPr>
          <w:rFonts w:eastAsia="Times New Roman" w:cs="TrebuchetMS"/>
        </w:rPr>
        <w:t xml:space="preserve"> obuwia. Sprzętu RTV i AGD dotyczyło </w:t>
      </w:r>
      <w:r w:rsidR="00C622A2" w:rsidRPr="00014849">
        <w:rPr>
          <w:rFonts w:eastAsia="Times New Roman" w:cs="TrebuchetMS"/>
        </w:rPr>
        <w:t>470</w:t>
      </w:r>
      <w:r w:rsidRPr="00014849">
        <w:rPr>
          <w:rFonts w:eastAsia="Times New Roman" w:cs="TrebuchetMS"/>
        </w:rPr>
        <w:t xml:space="preserve"> wniosków, odzieży 27</w:t>
      </w:r>
      <w:r w:rsidR="00C622A2" w:rsidRPr="00014849">
        <w:rPr>
          <w:rFonts w:eastAsia="Times New Roman" w:cs="TrebuchetMS"/>
        </w:rPr>
        <w:t>6</w:t>
      </w:r>
      <w:r w:rsidRPr="00014849">
        <w:rPr>
          <w:rFonts w:eastAsia="Times New Roman" w:cs="TrebuchetMS"/>
        </w:rPr>
        <w:t xml:space="preserve">, mebli </w:t>
      </w:r>
      <w:r w:rsidR="00C622A2" w:rsidRPr="00014849">
        <w:rPr>
          <w:rFonts w:eastAsia="Times New Roman" w:cs="TrebuchetMS"/>
        </w:rPr>
        <w:t>290</w:t>
      </w:r>
      <w:r w:rsidRPr="00014849">
        <w:rPr>
          <w:rFonts w:eastAsia="Times New Roman" w:cs="TrebuchetMS"/>
        </w:rPr>
        <w:t xml:space="preserve">, artykułów motoryzacyjnych </w:t>
      </w:r>
      <w:r w:rsidR="00C622A2" w:rsidRPr="00014849">
        <w:rPr>
          <w:rFonts w:eastAsia="Times New Roman" w:cs="TrebuchetMS"/>
        </w:rPr>
        <w:t>147</w:t>
      </w:r>
      <w:r w:rsidRPr="00014849">
        <w:rPr>
          <w:rFonts w:eastAsia="Times New Roman" w:cs="TrebuchetMS"/>
        </w:rPr>
        <w:t xml:space="preserve">, galanterii </w:t>
      </w:r>
      <w:r w:rsidR="00C622A2" w:rsidRPr="00014849">
        <w:rPr>
          <w:rFonts w:eastAsia="Times New Roman" w:cs="TrebuchetMS"/>
        </w:rPr>
        <w:t>56</w:t>
      </w:r>
      <w:r w:rsidRPr="00014849">
        <w:rPr>
          <w:rFonts w:eastAsia="Times New Roman" w:cs="TrebuchetMS"/>
        </w:rPr>
        <w:t xml:space="preserve">, sprzętu komputerowego </w:t>
      </w:r>
      <w:r w:rsidR="00C622A2" w:rsidRPr="00014849">
        <w:rPr>
          <w:rFonts w:eastAsia="Times New Roman" w:cs="TrebuchetMS"/>
        </w:rPr>
        <w:t>92</w:t>
      </w:r>
      <w:r w:rsidRPr="00014849">
        <w:rPr>
          <w:rFonts w:eastAsia="Times New Roman" w:cs="TrebuchetMS"/>
        </w:rPr>
        <w:t xml:space="preserve">, zabawek </w:t>
      </w:r>
      <w:r w:rsidR="00C622A2" w:rsidRPr="00014849">
        <w:rPr>
          <w:rFonts w:eastAsia="Times New Roman" w:cs="TrebuchetMS"/>
        </w:rPr>
        <w:t>6</w:t>
      </w:r>
      <w:r w:rsidRPr="00014849">
        <w:rPr>
          <w:rFonts w:eastAsia="Times New Roman" w:cs="TrebuchetMS"/>
        </w:rPr>
        <w:t xml:space="preserve">, paliw ciekłych i LPG </w:t>
      </w:r>
      <w:r w:rsidR="00C622A2" w:rsidRPr="00014849">
        <w:rPr>
          <w:rFonts w:eastAsia="Times New Roman" w:cs="TrebuchetMS"/>
        </w:rPr>
        <w:t>6</w:t>
      </w:r>
      <w:r w:rsidRPr="00014849">
        <w:rPr>
          <w:rFonts w:eastAsia="Times New Roman" w:cs="TrebuchetMS"/>
        </w:rPr>
        <w:t xml:space="preserve">. Pozostałe to nieskategoryzowane sprawy, tj. </w:t>
      </w:r>
      <w:r w:rsidR="00C622A2" w:rsidRPr="00014849">
        <w:rPr>
          <w:rFonts w:eastAsia="Times New Roman" w:cs="TrebuchetMS"/>
        </w:rPr>
        <w:t>1094</w:t>
      </w:r>
      <w:r w:rsidRPr="00014849">
        <w:rPr>
          <w:rFonts w:eastAsia="Times New Roman" w:cs="TrebuchetMS"/>
        </w:rPr>
        <w:t xml:space="preserve"> wnioski.</w:t>
      </w:r>
    </w:p>
    <w:p w14:paraId="7BFAD4C2" w14:textId="77777777" w:rsidR="00E21CE3" w:rsidRPr="00014849" w:rsidRDefault="00E21CE3" w:rsidP="00014849">
      <w:pPr>
        <w:autoSpaceDE w:val="0"/>
        <w:autoSpaceDN w:val="0"/>
        <w:adjustRightInd w:val="0"/>
        <w:spacing w:after="120" w:line="276" w:lineRule="auto"/>
        <w:ind w:left="284"/>
        <w:rPr>
          <w:rFonts w:eastAsia="Times New Roman" w:cs="TrebuchetMS"/>
        </w:rPr>
      </w:pPr>
      <w:r w:rsidRPr="00014849">
        <w:rPr>
          <w:rFonts w:eastAsia="Times New Roman" w:cs="TrebuchetMS"/>
        </w:rPr>
        <w:t>Usług dotyczyło 8</w:t>
      </w:r>
      <w:r w:rsidR="00C21853" w:rsidRPr="00014849">
        <w:rPr>
          <w:rFonts w:eastAsia="Times New Roman" w:cs="TrebuchetMS"/>
        </w:rPr>
        <w:t>12</w:t>
      </w:r>
      <w:r w:rsidRPr="00014849">
        <w:rPr>
          <w:rFonts w:eastAsia="Times New Roman" w:cs="TrebuchetMS"/>
        </w:rPr>
        <w:t xml:space="preserve"> wniosków, w tym: remontowo-budowlanych 21</w:t>
      </w:r>
      <w:r w:rsidR="00E04C7D" w:rsidRPr="00014849">
        <w:rPr>
          <w:rFonts w:eastAsia="Times New Roman" w:cs="TrebuchetMS"/>
        </w:rPr>
        <w:t>0</w:t>
      </w:r>
      <w:r w:rsidRPr="00014849">
        <w:rPr>
          <w:rFonts w:eastAsia="Times New Roman" w:cs="TrebuchetMS"/>
        </w:rPr>
        <w:t xml:space="preserve">, motoryzacyjnych </w:t>
      </w:r>
      <w:r w:rsidR="00E04C7D" w:rsidRPr="00014849">
        <w:rPr>
          <w:rFonts w:eastAsia="Times New Roman" w:cs="TrebuchetMS"/>
        </w:rPr>
        <w:t>46</w:t>
      </w:r>
      <w:r w:rsidRPr="00014849">
        <w:rPr>
          <w:rFonts w:eastAsia="Times New Roman" w:cs="TrebuchetMS"/>
        </w:rPr>
        <w:t xml:space="preserve">, pralniczych </w:t>
      </w:r>
      <w:r w:rsidR="00E04C7D" w:rsidRPr="00014849">
        <w:rPr>
          <w:rFonts w:eastAsia="Times New Roman" w:cs="TrebuchetMS"/>
        </w:rPr>
        <w:t>20</w:t>
      </w:r>
      <w:r w:rsidRPr="00014849">
        <w:rPr>
          <w:rFonts w:eastAsia="Times New Roman" w:cs="TrebuchetMS"/>
        </w:rPr>
        <w:t xml:space="preserve">, fryzjerskich i kosmetycznych </w:t>
      </w:r>
      <w:r w:rsidR="00C21853" w:rsidRPr="00014849">
        <w:rPr>
          <w:rFonts w:eastAsia="Times New Roman" w:cs="TrebuchetMS"/>
        </w:rPr>
        <w:t>24</w:t>
      </w:r>
      <w:r w:rsidRPr="00014849">
        <w:rPr>
          <w:rFonts w:eastAsia="Times New Roman" w:cs="TrebuchetMS"/>
        </w:rPr>
        <w:t xml:space="preserve">, gastronomicznych </w:t>
      </w:r>
      <w:r w:rsidR="00C21853" w:rsidRPr="00014849">
        <w:rPr>
          <w:rFonts w:eastAsia="Times New Roman" w:cs="TrebuchetMS"/>
        </w:rPr>
        <w:t>10</w:t>
      </w:r>
      <w:r w:rsidRPr="00014849">
        <w:rPr>
          <w:rFonts w:eastAsia="Times New Roman" w:cs="TrebuchetMS"/>
        </w:rPr>
        <w:t xml:space="preserve">, usługi edukacyjnych </w:t>
      </w:r>
      <w:r w:rsidR="00C21853" w:rsidRPr="00014849">
        <w:rPr>
          <w:rFonts w:eastAsia="Times New Roman" w:cs="TrebuchetMS"/>
        </w:rPr>
        <w:t>15</w:t>
      </w:r>
      <w:r w:rsidRPr="00014849">
        <w:rPr>
          <w:rFonts w:eastAsia="Times New Roman" w:cs="TrebuchetMS"/>
        </w:rPr>
        <w:t>. Nieskategoryzowane sprawy to 4</w:t>
      </w:r>
      <w:r w:rsidR="00C21853" w:rsidRPr="00014849">
        <w:rPr>
          <w:rFonts w:eastAsia="Times New Roman" w:cs="TrebuchetMS"/>
        </w:rPr>
        <w:t>87</w:t>
      </w:r>
      <w:r w:rsidRPr="00014849">
        <w:rPr>
          <w:rFonts w:eastAsia="Times New Roman" w:cs="TrebuchetMS"/>
        </w:rPr>
        <w:t xml:space="preserve">. </w:t>
      </w:r>
    </w:p>
    <w:p w14:paraId="60C1219E" w14:textId="77777777" w:rsidR="00E21CE3" w:rsidRPr="00014849" w:rsidRDefault="00E21CE3" w:rsidP="00014849">
      <w:pPr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rPr>
          <w:rFonts w:eastAsia="Times New Roman" w:cs="TrebuchetMS"/>
          <w:b/>
        </w:rPr>
      </w:pPr>
      <w:r w:rsidRPr="00014849">
        <w:rPr>
          <w:rFonts w:eastAsia="Times New Roman" w:cs="TrebuchetMS"/>
          <w:b/>
        </w:rPr>
        <w:t>Informacja o powtarzających się lub istotnych problemach, które prowadzą do sporów konsumenckich, do której mogą być dołączone zalecenia dotyczące unikania lub rozwiązywania takich problemów</w:t>
      </w:r>
    </w:p>
    <w:p w14:paraId="6C339013" w14:textId="35830227" w:rsidR="00095071" w:rsidRPr="00014849" w:rsidRDefault="00E21CE3" w:rsidP="00014849">
      <w:pPr>
        <w:spacing w:after="120" w:line="276" w:lineRule="auto"/>
        <w:ind w:left="284"/>
      </w:pPr>
      <w:r w:rsidRPr="00014849">
        <w:rPr>
          <w:rFonts w:eastAsia="Times New Roman" w:cs="TrebuchetMS"/>
        </w:rPr>
        <w:t xml:space="preserve">Z analizy danych przesyłanych przez wojewódzkie inspektoraty Inspekcji Handlowej wynika, że spory w znacznej części dotyczą </w:t>
      </w:r>
      <w:r w:rsidRPr="00014849">
        <w:t>problemów z</w:t>
      </w:r>
      <w:r w:rsidR="00164268">
        <w:t>wiązanych z</w:t>
      </w:r>
      <w:r w:rsidR="00095071" w:rsidRPr="00014849">
        <w:t>:</w:t>
      </w:r>
    </w:p>
    <w:p w14:paraId="112B1567" w14:textId="59E08CA4" w:rsidR="001926BB" w:rsidRPr="00014849" w:rsidRDefault="008503EF" w:rsidP="00014849">
      <w:pPr>
        <w:pStyle w:val="Akapitzlist"/>
        <w:numPr>
          <w:ilvl w:val="3"/>
          <w:numId w:val="1"/>
        </w:numPr>
        <w:spacing w:after="120" w:line="276" w:lineRule="auto"/>
        <w:ind w:left="993" w:hanging="426"/>
        <w:contextualSpacing w:val="0"/>
        <w:rPr>
          <w:rFonts w:eastAsia="Times New Roman" w:cs="TrebuchetMS"/>
          <w:lang w:eastAsia="pl-PL"/>
        </w:rPr>
      </w:pPr>
      <w:r w:rsidRPr="00014849">
        <w:rPr>
          <w:rFonts w:eastAsia="Times New Roman" w:cs="TrebuchetMS"/>
          <w:lang w:eastAsia="pl-PL"/>
        </w:rPr>
        <w:t>niedostateczn</w:t>
      </w:r>
      <w:r w:rsidR="00AB3207">
        <w:rPr>
          <w:rFonts w:eastAsia="Times New Roman" w:cs="TrebuchetMS"/>
          <w:lang w:eastAsia="pl-PL"/>
        </w:rPr>
        <w:t>ą</w:t>
      </w:r>
      <w:r w:rsidRPr="00014849">
        <w:rPr>
          <w:rFonts w:eastAsia="Times New Roman" w:cs="TrebuchetMS"/>
          <w:lang w:eastAsia="pl-PL"/>
        </w:rPr>
        <w:t xml:space="preserve"> znajomości</w:t>
      </w:r>
      <w:r w:rsidR="00AB3207">
        <w:rPr>
          <w:rFonts w:eastAsia="Times New Roman" w:cs="TrebuchetMS"/>
          <w:lang w:eastAsia="pl-PL"/>
        </w:rPr>
        <w:t>ą</w:t>
      </w:r>
      <w:r w:rsidRPr="00014849">
        <w:rPr>
          <w:rFonts w:eastAsia="Times New Roman" w:cs="TrebuchetMS"/>
          <w:lang w:eastAsia="pl-PL"/>
        </w:rPr>
        <w:t xml:space="preserve"> przepisów regulujących sprzedaż konsumencką oraz braku świadomości, że gwarancja nie jest tożsama z rękojmią. </w:t>
      </w:r>
    </w:p>
    <w:p w14:paraId="3CE0C47E" w14:textId="77777777" w:rsidR="008503EF" w:rsidRPr="00014849" w:rsidRDefault="001926BB" w:rsidP="00014849">
      <w:pPr>
        <w:pStyle w:val="Akapitzlist"/>
        <w:numPr>
          <w:ilvl w:val="3"/>
          <w:numId w:val="1"/>
        </w:numPr>
        <w:spacing w:after="120" w:line="276" w:lineRule="auto"/>
        <w:ind w:left="993" w:hanging="426"/>
        <w:contextualSpacing w:val="0"/>
        <w:rPr>
          <w:rFonts w:eastAsia="Times New Roman" w:cs="TrebuchetMS"/>
          <w:lang w:eastAsia="pl-PL"/>
        </w:rPr>
      </w:pPr>
      <w:r w:rsidRPr="00014849">
        <w:rPr>
          <w:rFonts w:eastAsia="Times New Roman" w:cs="TrebuchetMS"/>
          <w:lang w:eastAsia="pl-PL"/>
        </w:rPr>
        <w:t>o</w:t>
      </w:r>
      <w:r w:rsidR="008503EF" w:rsidRPr="00014849">
        <w:rPr>
          <w:rFonts w:eastAsia="Times New Roman" w:cs="TrebuchetMS"/>
          <w:lang w:eastAsia="pl-PL"/>
        </w:rPr>
        <w:t>dmow</w:t>
      </w:r>
      <w:r w:rsidRPr="00014849">
        <w:rPr>
          <w:rFonts w:eastAsia="Times New Roman" w:cs="TrebuchetMS"/>
          <w:lang w:eastAsia="pl-PL"/>
        </w:rPr>
        <w:t>ą</w:t>
      </w:r>
      <w:r w:rsidR="008503EF" w:rsidRPr="00014849">
        <w:rPr>
          <w:rFonts w:eastAsia="Times New Roman" w:cs="TrebuchetMS"/>
          <w:lang w:eastAsia="pl-PL"/>
        </w:rPr>
        <w:t xml:space="preserve"> przyjęcia reklamacji, czy też nieterminowe jej rozpatrzenie, bądź zbyt długie oczekiwanie na realizację uzgodnień reklamacyjnych</w:t>
      </w:r>
      <w:r w:rsidRPr="00014849">
        <w:rPr>
          <w:rFonts w:eastAsia="Times New Roman" w:cs="TrebuchetMS"/>
          <w:lang w:eastAsia="pl-PL"/>
        </w:rPr>
        <w:t>,</w:t>
      </w:r>
      <w:r w:rsidR="008503EF" w:rsidRPr="00014849">
        <w:rPr>
          <w:rFonts w:eastAsia="Times New Roman" w:cs="TrebuchetMS"/>
          <w:lang w:eastAsia="pl-PL"/>
        </w:rPr>
        <w:t xml:space="preserve">. </w:t>
      </w:r>
    </w:p>
    <w:p w14:paraId="15DEF8D5" w14:textId="77777777" w:rsidR="001926BB" w:rsidRPr="00014849" w:rsidRDefault="00E21CE3" w:rsidP="00014849">
      <w:pPr>
        <w:pStyle w:val="Akapitzlist"/>
        <w:numPr>
          <w:ilvl w:val="3"/>
          <w:numId w:val="1"/>
        </w:numPr>
        <w:spacing w:after="120" w:line="276" w:lineRule="auto"/>
        <w:ind w:left="896" w:hanging="329"/>
        <w:contextualSpacing w:val="0"/>
      </w:pPr>
      <w:r w:rsidRPr="00014849">
        <w:t xml:space="preserve">nienależytym wykonaniem umów o dzieło albo wykonaniem innych usług, niezgodnością towaru z umową, </w:t>
      </w:r>
    </w:p>
    <w:p w14:paraId="25FCBBCD" w14:textId="77777777" w:rsidR="00014849" w:rsidRDefault="00E21CE3" w:rsidP="00014849">
      <w:pPr>
        <w:spacing w:after="120" w:line="276" w:lineRule="auto"/>
        <w:ind w:left="284"/>
        <w:rPr>
          <w:rFonts w:eastAsia="Times New Roman"/>
        </w:rPr>
      </w:pPr>
      <w:r w:rsidRPr="00014849">
        <w:rPr>
          <w:rFonts w:eastAsia="Times New Roman"/>
        </w:rPr>
        <w:t xml:space="preserve">Po stronie konsumentów w dalszym ciągu </w:t>
      </w:r>
      <w:r w:rsidR="00014849">
        <w:rPr>
          <w:rFonts w:eastAsia="Times New Roman"/>
        </w:rPr>
        <w:t>daje się zauważyć</w:t>
      </w:r>
      <w:r w:rsidRPr="00014849">
        <w:rPr>
          <w:rFonts w:eastAsia="Times New Roman"/>
        </w:rPr>
        <w:t xml:space="preserve"> </w:t>
      </w:r>
      <w:r w:rsidR="00014849">
        <w:rPr>
          <w:rFonts w:eastAsia="Times New Roman"/>
        </w:rPr>
        <w:t>nie</w:t>
      </w:r>
      <w:r w:rsidRPr="00014849">
        <w:rPr>
          <w:rFonts w:eastAsia="Times New Roman"/>
        </w:rPr>
        <w:t xml:space="preserve">znajomość przepisów związanych z ochroną praw konsumentów, brak pełnego zrozumienia treści zawieranych umów, zbyt wygórowane roszczenia reklamacyjne w odniesieniu do ujawnionych wad rzeczy. Do częstych należą przypadki odmowy uznania roszczeń </w:t>
      </w:r>
      <w:r w:rsidR="00014849">
        <w:rPr>
          <w:rFonts w:eastAsia="Times New Roman"/>
        </w:rPr>
        <w:t xml:space="preserve">przez przedsiębiorców </w:t>
      </w:r>
      <w:r w:rsidRPr="00014849">
        <w:rPr>
          <w:rFonts w:eastAsia="Times New Roman"/>
        </w:rPr>
        <w:t xml:space="preserve">uzasadniane nieprzestrzeganiem zaleceń co do sposobu użytkowania i konserwacji. </w:t>
      </w:r>
    </w:p>
    <w:p w14:paraId="6BBD78B1" w14:textId="4A73C825" w:rsidR="00E21CE3" w:rsidRPr="00014849" w:rsidRDefault="00201709" w:rsidP="00014849">
      <w:pPr>
        <w:spacing w:after="120" w:line="276" w:lineRule="auto"/>
        <w:ind w:left="284"/>
        <w:rPr>
          <w:rFonts w:eastAsia="Times New Roman"/>
        </w:rPr>
      </w:pPr>
      <w:r>
        <w:rPr>
          <w:rFonts w:eastAsia="Times New Roman"/>
        </w:rPr>
        <w:t>P</w:t>
      </w:r>
      <w:r w:rsidR="00E21CE3" w:rsidRPr="00014849">
        <w:rPr>
          <w:rFonts w:eastAsia="Times New Roman"/>
        </w:rPr>
        <w:t>o stronie przedsiębiorców</w:t>
      </w:r>
      <w:r>
        <w:rPr>
          <w:rFonts w:eastAsia="Times New Roman"/>
        </w:rPr>
        <w:t xml:space="preserve">, </w:t>
      </w:r>
      <w:r w:rsidR="00014849">
        <w:rPr>
          <w:rFonts w:eastAsia="Times New Roman"/>
        </w:rPr>
        <w:t xml:space="preserve">można </w:t>
      </w:r>
      <w:r w:rsidR="00A23BE6">
        <w:rPr>
          <w:rFonts w:eastAsia="Times New Roman"/>
        </w:rPr>
        <w:t xml:space="preserve">natomiast </w:t>
      </w:r>
      <w:r w:rsidR="00014849">
        <w:rPr>
          <w:rFonts w:eastAsia="Times New Roman"/>
        </w:rPr>
        <w:t>zaobserwować</w:t>
      </w:r>
      <w:r w:rsidR="00E21CE3" w:rsidRPr="00014849">
        <w:rPr>
          <w:rFonts w:eastAsia="Times New Roman"/>
        </w:rPr>
        <w:t xml:space="preserve"> świadome próby cedowania odpowiedzialności za kwestionowaną jakość towaru na producentów lub dostawców, nierzetelne i nieterminowe realizowanie przyjętych usług.</w:t>
      </w:r>
    </w:p>
    <w:p w14:paraId="5ECC1A9B" w14:textId="77777777" w:rsidR="00E21CE3" w:rsidRPr="00014849" w:rsidRDefault="00E21CE3" w:rsidP="00014849">
      <w:pPr>
        <w:spacing w:after="120" w:line="276" w:lineRule="auto"/>
        <w:ind w:left="284"/>
        <w:rPr>
          <w:rFonts w:eastAsia="Times New Roman"/>
        </w:rPr>
      </w:pPr>
      <w:r w:rsidRPr="00014849">
        <w:rPr>
          <w:rFonts w:eastAsia="Times New Roman"/>
        </w:rPr>
        <w:lastRenderedPageBreak/>
        <w:t xml:space="preserve">Częstym przypadkiem jest </w:t>
      </w:r>
      <w:r w:rsidRPr="00014849">
        <w:rPr>
          <w:rFonts w:eastAsia="Times New Roman"/>
          <w:color w:val="000000"/>
          <w:lang w:eastAsia="pl-PL"/>
        </w:rPr>
        <w:t>przeprowadzanie przez sprzedawców kolejnych napraw towaru, pomimo złożonego przez konsumenta żądania zwrotu gotówki lub brak zachowania przez sprzedawców warunku niezwłoczności dla naprawy lub wymiany towaru.</w:t>
      </w:r>
      <w:r w:rsidRPr="00014849">
        <w:rPr>
          <w:rFonts w:eastAsia="Times New Roman"/>
        </w:rPr>
        <w:t xml:space="preserve"> Kolejną grupą problemową są meble, reklamowane z uwagi na ujawnianie się wad jakościowych. W zakresie usług bytowych dla ludności najwięcej zastrzeżeń konsumentów dotyczy wykonania usługach remontowo-budowlanych. </w:t>
      </w:r>
    </w:p>
    <w:p w14:paraId="57259355" w14:textId="77777777" w:rsidR="00E21CE3" w:rsidRPr="00014849" w:rsidRDefault="00014849" w:rsidP="00014849">
      <w:pPr>
        <w:spacing w:after="120" w:line="276" w:lineRule="auto"/>
        <w:ind w:left="284"/>
        <w:rPr>
          <w:rFonts w:eastAsia="Times New Roman"/>
        </w:rPr>
      </w:pPr>
      <w:r>
        <w:rPr>
          <w:rFonts w:eastAsia="Times New Roman"/>
        </w:rPr>
        <w:t>G</w:t>
      </w:r>
      <w:r w:rsidR="00E21CE3" w:rsidRPr="00014849">
        <w:rPr>
          <w:rFonts w:eastAsia="Times New Roman"/>
        </w:rPr>
        <w:t>łówny problemem</w:t>
      </w:r>
      <w:r w:rsidR="00F36954" w:rsidRPr="00014849">
        <w:rPr>
          <w:rFonts w:eastAsia="Times New Roman"/>
        </w:rPr>
        <w:t xml:space="preserve"> stanowi</w:t>
      </w:r>
      <w:r w:rsidR="00E21CE3" w:rsidRPr="00014849">
        <w:rPr>
          <w:rFonts w:eastAsia="Times New Roman"/>
        </w:rPr>
        <w:t xml:space="preserve"> jakość wykonania produktów, poprzez stosowanie często tanich, zastępczych materiałów, które się nie sprawdzają w użyciu. </w:t>
      </w:r>
      <w:r>
        <w:rPr>
          <w:rFonts w:eastAsia="Times New Roman"/>
        </w:rPr>
        <w:t>Te</w:t>
      </w:r>
      <w:r w:rsidR="00E21CE3" w:rsidRPr="00014849">
        <w:rPr>
          <w:rFonts w:eastAsia="Times New Roman"/>
        </w:rPr>
        <w:t xml:space="preserve"> same problemy występują corocznie, od wielu lat.</w:t>
      </w:r>
    </w:p>
    <w:p w14:paraId="57921AB7" w14:textId="77777777" w:rsidR="00E21CE3" w:rsidRPr="00014849" w:rsidRDefault="00E21CE3" w:rsidP="00014849">
      <w:pPr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rPr>
          <w:rFonts w:eastAsia="Times New Roman" w:cs="TrebuchetMS"/>
        </w:rPr>
      </w:pPr>
      <w:r w:rsidRPr="00014849">
        <w:rPr>
          <w:rFonts w:eastAsia="Times New Roman" w:cs="TrebuchetMS"/>
          <w:b/>
        </w:rPr>
        <w:t xml:space="preserve">Informacja o sporach, których rozpatrzenia podmiot uprawniony odmówił, </w:t>
      </w:r>
      <w:r w:rsidRPr="00014849">
        <w:rPr>
          <w:rFonts w:eastAsia="Times New Roman" w:cs="TrebuchetMS"/>
          <w:b/>
        </w:rPr>
        <w:br/>
        <w:t>w stosunku do liczby złożonych wniosków o wszczęcie postępowania w sprawie pozasądowego rozwiązywania sporów konsumenckich</w:t>
      </w:r>
    </w:p>
    <w:p w14:paraId="1B17BB78" w14:textId="77777777" w:rsidR="00E21CE3" w:rsidRPr="000F5BB9" w:rsidRDefault="00E21CE3" w:rsidP="00014849">
      <w:pPr>
        <w:autoSpaceDE w:val="0"/>
        <w:autoSpaceDN w:val="0"/>
        <w:adjustRightInd w:val="0"/>
        <w:spacing w:after="120" w:line="276" w:lineRule="auto"/>
        <w:ind w:left="284"/>
        <w:rPr>
          <w:rFonts w:eastAsia="Times New Roman" w:cs="TrebuchetMS"/>
        </w:rPr>
      </w:pPr>
      <w:r w:rsidRPr="00014849">
        <w:rPr>
          <w:rFonts w:eastAsia="Times New Roman" w:cs="TrebuchetMS"/>
        </w:rPr>
        <w:t xml:space="preserve">W przypadku, gdy wnioskodawcą był konsument na </w:t>
      </w:r>
      <w:r w:rsidR="004978F6" w:rsidRPr="00014849">
        <w:rPr>
          <w:rFonts w:eastAsia="Times New Roman" w:cs="TrebuchetMS"/>
          <w:b/>
        </w:rPr>
        <w:t>4270</w:t>
      </w:r>
      <w:r w:rsidRPr="00014849">
        <w:rPr>
          <w:rFonts w:eastAsia="Times New Roman" w:cs="TrebuchetMS"/>
        </w:rPr>
        <w:t xml:space="preserve"> wniosków podmiot odmówił </w:t>
      </w:r>
      <w:r w:rsidRPr="000F5BB9">
        <w:rPr>
          <w:rFonts w:eastAsia="Times New Roman" w:cs="TrebuchetMS"/>
        </w:rPr>
        <w:t xml:space="preserve">zajęcia się sprawą </w:t>
      </w:r>
      <w:r w:rsidR="000F5BB9">
        <w:rPr>
          <w:rFonts w:eastAsia="Times New Roman" w:cs="TrebuchetMS"/>
        </w:rPr>
        <w:t xml:space="preserve">w </w:t>
      </w:r>
      <w:r w:rsidR="00095785" w:rsidRPr="000F5BB9">
        <w:rPr>
          <w:rFonts w:eastAsia="Times New Roman" w:cs="TrebuchetMS"/>
        </w:rPr>
        <w:t>89</w:t>
      </w:r>
      <w:r w:rsidRPr="000F5BB9">
        <w:rPr>
          <w:rFonts w:eastAsia="Times New Roman" w:cs="TrebuchetMS"/>
        </w:rPr>
        <w:t xml:space="preserve"> </w:t>
      </w:r>
      <w:r w:rsidR="000F5BB9">
        <w:rPr>
          <w:rFonts w:eastAsia="Times New Roman" w:cs="TrebuchetMS"/>
        </w:rPr>
        <w:t>przypadkach (</w:t>
      </w:r>
      <w:r w:rsidR="004978F6" w:rsidRPr="000F5BB9">
        <w:rPr>
          <w:rFonts w:eastAsia="Times New Roman" w:cs="TrebuchetMS"/>
        </w:rPr>
        <w:t>2</w:t>
      </w:r>
      <w:r w:rsidRPr="000F5BB9">
        <w:rPr>
          <w:rFonts w:eastAsia="Times New Roman" w:cs="TrebuchetMS"/>
        </w:rPr>
        <w:t xml:space="preserve"> proc. spra</w:t>
      </w:r>
      <w:r w:rsidR="000F5BB9">
        <w:rPr>
          <w:rFonts w:eastAsia="Times New Roman" w:cs="TrebuchetMS"/>
        </w:rPr>
        <w:t>w)</w:t>
      </w:r>
      <w:r w:rsidRPr="000F5BB9">
        <w:rPr>
          <w:rFonts w:eastAsia="Times New Roman" w:cs="TrebuchetMS"/>
        </w:rPr>
        <w:t xml:space="preserve">. </w:t>
      </w:r>
      <w:r w:rsidR="000F5BB9">
        <w:rPr>
          <w:rFonts w:eastAsia="Times New Roman" w:cs="TrebuchetMS"/>
        </w:rPr>
        <w:t>I tak:</w:t>
      </w:r>
    </w:p>
    <w:p w14:paraId="787FAE07" w14:textId="77777777" w:rsidR="00E21CE3" w:rsidRPr="000F5BB9" w:rsidRDefault="000F5BB9" w:rsidP="00014849">
      <w:pPr>
        <w:numPr>
          <w:ilvl w:val="0"/>
          <w:numId w:val="2"/>
        </w:numPr>
        <w:spacing w:after="120" w:line="276" w:lineRule="auto"/>
        <w:ind w:left="1134" w:hanging="425"/>
        <w:rPr>
          <w:rFonts w:eastAsia="Times New Roman" w:cs="TrebuchetMS"/>
        </w:rPr>
      </w:pPr>
      <w:r>
        <w:rPr>
          <w:rFonts w:eastAsia="Times New Roman" w:cs="TrebuchetMS"/>
        </w:rPr>
        <w:t xml:space="preserve">w 74 przypadkach </w:t>
      </w:r>
      <w:r w:rsidR="00E21CE3" w:rsidRPr="000F5BB9">
        <w:rPr>
          <w:rFonts w:eastAsia="Times New Roman" w:cs="TrebuchetMS"/>
        </w:rPr>
        <w:t>przedmiot sporu wykraczał poza kategorię sporów objętych właściwością Inspekcji Handlowej</w:t>
      </w:r>
      <w:r>
        <w:rPr>
          <w:rFonts w:eastAsia="Times New Roman" w:cs="TrebuchetMS"/>
        </w:rPr>
        <w:t>,</w:t>
      </w:r>
    </w:p>
    <w:p w14:paraId="55442EAA" w14:textId="77777777" w:rsidR="00E21CE3" w:rsidRPr="000F5BB9" w:rsidRDefault="000F5BB9" w:rsidP="00014849">
      <w:pPr>
        <w:numPr>
          <w:ilvl w:val="0"/>
          <w:numId w:val="2"/>
        </w:numPr>
        <w:spacing w:after="120" w:line="276" w:lineRule="auto"/>
        <w:ind w:left="1134" w:hanging="425"/>
        <w:rPr>
          <w:rFonts w:eastAsia="Times New Roman" w:cs="TrebuchetMS"/>
        </w:rPr>
      </w:pPr>
      <w:r>
        <w:rPr>
          <w:rFonts w:eastAsia="Times New Roman" w:cs="TrebuchetMS"/>
        </w:rPr>
        <w:t xml:space="preserve">w 4 przypadkach </w:t>
      </w:r>
      <w:r w:rsidR="00E21CE3" w:rsidRPr="000F5BB9">
        <w:rPr>
          <w:rFonts w:eastAsia="Times New Roman" w:cs="TrebuchetMS"/>
        </w:rPr>
        <w:t>wnioskodawca nie podjął, przed złożeniem wniosku o wszczęcie postępowania w sprawie pozasądowego rozwiązywania sporów konsumenckich, próby kontaktu z drugą stroną i bezpośredniego rozwiązania sporu</w:t>
      </w:r>
      <w:r>
        <w:rPr>
          <w:rFonts w:eastAsia="Times New Roman" w:cs="TrebuchetMS"/>
        </w:rPr>
        <w:t>,</w:t>
      </w:r>
    </w:p>
    <w:p w14:paraId="33BF0DCB" w14:textId="77777777" w:rsidR="004978F6" w:rsidRPr="000F5BB9" w:rsidRDefault="000F5BB9" w:rsidP="00014849">
      <w:pPr>
        <w:numPr>
          <w:ilvl w:val="0"/>
          <w:numId w:val="2"/>
        </w:numPr>
        <w:spacing w:after="120" w:line="276" w:lineRule="auto"/>
        <w:ind w:left="1134" w:hanging="425"/>
        <w:rPr>
          <w:rFonts w:eastAsia="Times New Roman" w:cs="TrebuchetMS"/>
        </w:rPr>
      </w:pPr>
      <w:r>
        <w:rPr>
          <w:rFonts w:eastAsia="Times New Roman" w:cs="TrebuchetMS"/>
        </w:rPr>
        <w:t xml:space="preserve">w 1 sprawie </w:t>
      </w:r>
      <w:r w:rsidR="004978F6" w:rsidRPr="000F5BB9">
        <w:rPr>
          <w:rFonts w:eastAsia="Times New Roman" w:cs="TrebuchetMS"/>
        </w:rPr>
        <w:t xml:space="preserve">spór </w:t>
      </w:r>
      <w:r>
        <w:rPr>
          <w:rFonts w:eastAsia="Times New Roman" w:cs="TrebuchetMS"/>
        </w:rPr>
        <w:t>był</w:t>
      </w:r>
      <w:r w:rsidR="004978F6" w:rsidRPr="000F5BB9">
        <w:rPr>
          <w:rFonts w:eastAsia="Times New Roman" w:cs="TrebuchetMS"/>
        </w:rPr>
        <w:t xml:space="preserve"> błahy lub wniosek o wszczęcie postępowania ADR </w:t>
      </w:r>
      <w:r>
        <w:rPr>
          <w:rFonts w:eastAsia="Times New Roman" w:cs="TrebuchetMS"/>
        </w:rPr>
        <w:t>powodowałby</w:t>
      </w:r>
      <w:r w:rsidR="004978F6" w:rsidRPr="000F5BB9">
        <w:rPr>
          <w:rFonts w:eastAsia="Times New Roman" w:cs="TrebuchetMS"/>
        </w:rPr>
        <w:t xml:space="preserve"> uciążliwości dla drugiej strony</w:t>
      </w:r>
      <w:r>
        <w:rPr>
          <w:rFonts w:eastAsia="Times New Roman" w:cs="TrebuchetMS"/>
        </w:rPr>
        <w:t>,</w:t>
      </w:r>
    </w:p>
    <w:p w14:paraId="4380FD03" w14:textId="77777777" w:rsidR="00E21CE3" w:rsidRPr="000F5BB9" w:rsidRDefault="000F5BB9" w:rsidP="00014849">
      <w:pPr>
        <w:numPr>
          <w:ilvl w:val="0"/>
          <w:numId w:val="2"/>
        </w:numPr>
        <w:spacing w:after="120" w:line="276" w:lineRule="auto"/>
        <w:ind w:left="1134" w:hanging="425"/>
        <w:rPr>
          <w:rFonts w:eastAsia="Times New Roman" w:cs="TrebuchetMS"/>
        </w:rPr>
      </w:pPr>
      <w:r>
        <w:rPr>
          <w:rFonts w:eastAsia="Times New Roman" w:cs="TrebuchetMS"/>
        </w:rPr>
        <w:t xml:space="preserve">w 7 przypadkach </w:t>
      </w:r>
      <w:r w:rsidR="00E21CE3" w:rsidRPr="000F5BB9">
        <w:rPr>
          <w:rFonts w:eastAsia="Times New Roman" w:cs="TrebuchetMS"/>
        </w:rPr>
        <w:t xml:space="preserve">sprawa o to samo roszczenie między tymi samymi stronami </w:t>
      </w:r>
      <w:r>
        <w:rPr>
          <w:rFonts w:eastAsia="Times New Roman" w:cs="TrebuchetMS"/>
        </w:rPr>
        <w:t>była</w:t>
      </w:r>
      <w:r w:rsidR="00E21CE3" w:rsidRPr="000F5BB9">
        <w:rPr>
          <w:rFonts w:eastAsia="Times New Roman" w:cs="TrebuchetMS"/>
        </w:rPr>
        <w:t xml:space="preserve"> w toku albo została już rozpatrzona przez Inspekcję</w:t>
      </w:r>
      <w:r>
        <w:rPr>
          <w:rFonts w:eastAsia="Times New Roman" w:cs="TrebuchetMS"/>
        </w:rPr>
        <w:t xml:space="preserve"> Handlową</w:t>
      </w:r>
      <w:r w:rsidR="00E21CE3" w:rsidRPr="000F5BB9">
        <w:rPr>
          <w:rFonts w:eastAsia="Times New Roman" w:cs="TrebuchetMS"/>
        </w:rPr>
        <w:t>, stały sąd polubowny, inny właściwy podmiot albo sąd</w:t>
      </w:r>
      <w:r>
        <w:rPr>
          <w:rFonts w:eastAsia="Times New Roman" w:cs="TrebuchetMS"/>
        </w:rPr>
        <w:t xml:space="preserve"> powszechny,</w:t>
      </w:r>
    </w:p>
    <w:p w14:paraId="467734E1" w14:textId="77777777" w:rsidR="004978F6" w:rsidRPr="000F5BB9" w:rsidRDefault="000F5BB9" w:rsidP="00014849">
      <w:pPr>
        <w:numPr>
          <w:ilvl w:val="0"/>
          <w:numId w:val="2"/>
        </w:numPr>
        <w:spacing w:after="120" w:line="276" w:lineRule="auto"/>
        <w:ind w:left="1134" w:hanging="425"/>
        <w:rPr>
          <w:rFonts w:eastAsia="Times New Roman" w:cs="TrebuchetMS"/>
        </w:rPr>
      </w:pPr>
      <w:r>
        <w:rPr>
          <w:rFonts w:eastAsia="Times New Roman" w:cs="TrebuchetMS"/>
        </w:rPr>
        <w:t xml:space="preserve">w 1 sprawie </w:t>
      </w:r>
      <w:r w:rsidR="00E21CE3" w:rsidRPr="000F5BB9">
        <w:rPr>
          <w:rFonts w:eastAsia="Times New Roman" w:cs="TrebuchetMS"/>
        </w:rPr>
        <w:t>wnioskodawca złożył wniosek o wszczęcie postępowania po upływie roku od dnia, w którym podjął próbę kontaktu z drugą stroną i bezpośredniego rozwiązania sporu</w:t>
      </w:r>
      <w:r>
        <w:rPr>
          <w:rFonts w:eastAsia="Times New Roman" w:cs="TrebuchetMS"/>
        </w:rPr>
        <w:t>,</w:t>
      </w:r>
    </w:p>
    <w:p w14:paraId="66347EF1" w14:textId="77777777" w:rsidR="00E21CE3" w:rsidRPr="000F5BB9" w:rsidRDefault="000F5BB9" w:rsidP="00014849">
      <w:pPr>
        <w:numPr>
          <w:ilvl w:val="0"/>
          <w:numId w:val="2"/>
        </w:numPr>
        <w:spacing w:after="120" w:line="276" w:lineRule="auto"/>
        <w:ind w:left="1134" w:hanging="425"/>
        <w:rPr>
          <w:rFonts w:eastAsia="Times New Roman" w:cs="TrebuchetMS"/>
        </w:rPr>
      </w:pPr>
      <w:r>
        <w:rPr>
          <w:rFonts w:eastAsia="Times New Roman" w:cs="TrebuchetMS"/>
        </w:rPr>
        <w:t xml:space="preserve">w 2 przypadkach </w:t>
      </w:r>
      <w:r w:rsidR="004978F6" w:rsidRPr="000F5BB9">
        <w:rPr>
          <w:rFonts w:eastAsia="Times New Roman" w:cs="TrebuchetMS"/>
        </w:rPr>
        <w:t>rozpatrzenie sporu spowodowałoby poważne zakłócenie działania Inspekcji Handlowe</w:t>
      </w:r>
      <w:r>
        <w:rPr>
          <w:rFonts w:eastAsia="Times New Roman" w:cs="TrebuchetMS"/>
        </w:rPr>
        <w:t>j</w:t>
      </w:r>
      <w:r w:rsidR="00E21CE3" w:rsidRPr="000F5BB9">
        <w:rPr>
          <w:rFonts w:eastAsia="Times New Roman" w:cs="TrebuchetMS"/>
        </w:rPr>
        <w:t>.</w:t>
      </w:r>
    </w:p>
    <w:p w14:paraId="06F6D047" w14:textId="77777777" w:rsidR="00E21CE3" w:rsidRPr="000F5BB9" w:rsidRDefault="00E21CE3" w:rsidP="00014849">
      <w:pPr>
        <w:autoSpaceDE w:val="0"/>
        <w:autoSpaceDN w:val="0"/>
        <w:adjustRightInd w:val="0"/>
        <w:spacing w:after="120" w:line="276" w:lineRule="auto"/>
        <w:ind w:left="284"/>
        <w:rPr>
          <w:rFonts w:eastAsia="Times New Roman" w:cs="TrebuchetMS"/>
        </w:rPr>
      </w:pPr>
      <w:r w:rsidRPr="000F5BB9">
        <w:rPr>
          <w:rFonts w:eastAsia="Times New Roman" w:cs="TrebuchetMS"/>
        </w:rPr>
        <w:t xml:space="preserve">W przypadku, gdy wnioskodawcą był przedsiębiorca – w odniesieniu do </w:t>
      </w:r>
      <w:r w:rsidR="005D23DA" w:rsidRPr="000F5BB9">
        <w:rPr>
          <w:rFonts w:eastAsia="Times New Roman" w:cs="TrebuchetMS"/>
        </w:rPr>
        <w:t>10</w:t>
      </w:r>
      <w:r w:rsidRPr="000F5BB9">
        <w:rPr>
          <w:rFonts w:eastAsia="Times New Roman" w:cs="TrebuchetMS"/>
        </w:rPr>
        <w:t xml:space="preserve"> wniosków organ odmówił zajęcia się sprawą</w:t>
      </w:r>
      <w:r w:rsidR="005D23DA" w:rsidRPr="000F5BB9">
        <w:rPr>
          <w:rFonts w:eastAsia="Times New Roman" w:cs="TrebuchetMS"/>
        </w:rPr>
        <w:t xml:space="preserve"> (100 proc.)</w:t>
      </w:r>
      <w:r w:rsidR="000F5BB9">
        <w:rPr>
          <w:rFonts w:eastAsia="Times New Roman" w:cs="TrebuchetMS"/>
        </w:rPr>
        <w:t>,</w:t>
      </w:r>
      <w:r w:rsidR="005D23DA" w:rsidRPr="000F5BB9">
        <w:rPr>
          <w:rFonts w:eastAsia="Times New Roman" w:cs="TrebuchetMS"/>
        </w:rPr>
        <w:t xml:space="preserve"> </w:t>
      </w:r>
      <w:r w:rsidRPr="000F5BB9">
        <w:rPr>
          <w:rFonts w:eastAsia="Times New Roman" w:cs="TrebuchetMS"/>
        </w:rPr>
        <w:t xml:space="preserve">ponieważ </w:t>
      </w:r>
      <w:r w:rsidR="005D23DA" w:rsidRPr="000F5BB9">
        <w:rPr>
          <w:rFonts w:eastAsia="Times New Roman" w:cs="TrebuchetMS"/>
        </w:rPr>
        <w:t>przedmiot sporu wykracza</w:t>
      </w:r>
      <w:r w:rsidR="000F5BB9">
        <w:rPr>
          <w:rFonts w:eastAsia="Times New Roman" w:cs="TrebuchetMS"/>
        </w:rPr>
        <w:t>ł</w:t>
      </w:r>
      <w:r w:rsidR="005D23DA" w:rsidRPr="000F5BB9">
        <w:rPr>
          <w:rFonts w:eastAsia="Times New Roman" w:cs="TrebuchetMS"/>
        </w:rPr>
        <w:t xml:space="preserve"> poza kategorię sporów objętych właściwością Inspekcji Handlowej.</w:t>
      </w:r>
    </w:p>
    <w:p w14:paraId="45A0D669" w14:textId="77777777" w:rsidR="00E21CE3" w:rsidRPr="00014849" w:rsidRDefault="00E21CE3" w:rsidP="00014849">
      <w:pPr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rPr>
          <w:rFonts w:eastAsia="Times New Roman" w:cs="TrebuchetMS"/>
          <w:b/>
        </w:rPr>
      </w:pPr>
      <w:r w:rsidRPr="00014849">
        <w:rPr>
          <w:rFonts w:eastAsia="Times New Roman" w:cs="TrebuchetMS"/>
          <w:b/>
        </w:rPr>
        <w:t>Informacja o udziale postępowań w sprawie pozasądowego rozwiązywania sporów konsumenckich, które zakończono przed osiągnięciem wyniku, w stosunku do liczby wszczętych postępowań, a także powody takiego zakończenia, o ile są znane</w:t>
      </w:r>
    </w:p>
    <w:p w14:paraId="464E50D6" w14:textId="77777777" w:rsidR="00E21CE3" w:rsidRPr="00014849" w:rsidRDefault="00E21CE3" w:rsidP="00014849">
      <w:pPr>
        <w:autoSpaceDE w:val="0"/>
        <w:autoSpaceDN w:val="0"/>
        <w:adjustRightInd w:val="0"/>
        <w:spacing w:after="120" w:line="276" w:lineRule="auto"/>
        <w:ind w:left="284"/>
        <w:rPr>
          <w:rFonts w:eastAsia="Times New Roman" w:cs="TrebuchetMS"/>
        </w:rPr>
      </w:pPr>
      <w:r w:rsidRPr="00014849">
        <w:rPr>
          <w:rFonts w:eastAsia="Times New Roman" w:cs="TrebuchetMS"/>
        </w:rPr>
        <w:t>W przypadku</w:t>
      </w:r>
      <w:r w:rsidRPr="00014849">
        <w:rPr>
          <w:rFonts w:eastAsia="Times New Roman" w:cs="TrebuchetMS"/>
          <w:b/>
        </w:rPr>
        <w:t xml:space="preserve"> </w:t>
      </w:r>
      <w:r w:rsidR="008E13F9" w:rsidRPr="00014849">
        <w:rPr>
          <w:rFonts w:eastAsia="Times New Roman" w:cs="TrebuchetMS"/>
          <w:b/>
        </w:rPr>
        <w:t>941</w:t>
      </w:r>
      <w:r w:rsidRPr="00014849">
        <w:rPr>
          <w:rFonts w:eastAsia="Times New Roman" w:cs="TrebuchetMS"/>
        </w:rPr>
        <w:t xml:space="preserve"> spraw</w:t>
      </w:r>
      <w:r w:rsidR="008E13F9" w:rsidRPr="00014849">
        <w:rPr>
          <w:vertAlign w:val="superscript"/>
        </w:rPr>
        <w:t xml:space="preserve"> </w:t>
      </w:r>
      <w:r w:rsidR="000F5BB9">
        <w:rPr>
          <w:rFonts w:eastAsia="Times New Roman" w:cs="TrebuchetMS"/>
        </w:rPr>
        <w:t>WIIH</w:t>
      </w:r>
      <w:r w:rsidRPr="00014849">
        <w:rPr>
          <w:rFonts w:eastAsia="Times New Roman" w:cs="TrebuchetMS"/>
        </w:rPr>
        <w:t xml:space="preserve"> zakończyły postępowania przed osiągnięciem wyniku, w tym:</w:t>
      </w:r>
    </w:p>
    <w:p w14:paraId="458001A6" w14:textId="77777777" w:rsidR="00E21CE3" w:rsidRPr="000F5BB9" w:rsidRDefault="000F5BB9" w:rsidP="000F5BB9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567" w:hanging="283"/>
        <w:rPr>
          <w:rFonts w:eastAsia="Times New Roman" w:cs="TrebuchetMS"/>
        </w:rPr>
      </w:pPr>
      <w:r>
        <w:rPr>
          <w:rFonts w:eastAsia="Times New Roman" w:cs="TrebuchetMS"/>
        </w:rPr>
        <w:t xml:space="preserve">337 </w:t>
      </w:r>
      <w:r w:rsidR="00E21CE3" w:rsidRPr="000F5BB9">
        <w:rPr>
          <w:rFonts w:eastAsia="Times New Roman" w:cs="TrebuchetMS"/>
        </w:rPr>
        <w:t>sprawy przekazane zgodnie z właściwością do innego WIIH,</w:t>
      </w:r>
    </w:p>
    <w:p w14:paraId="5ACC2A53" w14:textId="77777777" w:rsidR="00E21CE3" w:rsidRPr="000F5BB9" w:rsidRDefault="000F5BB9" w:rsidP="000F5BB9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567" w:hanging="283"/>
        <w:rPr>
          <w:rFonts w:eastAsia="Times New Roman" w:cs="TrebuchetMS"/>
        </w:rPr>
      </w:pPr>
      <w:r>
        <w:rPr>
          <w:rFonts w:eastAsia="Times New Roman" w:cs="TrebuchetMS"/>
        </w:rPr>
        <w:t xml:space="preserve">487 </w:t>
      </w:r>
      <w:r w:rsidR="00E21CE3" w:rsidRPr="000F5BB9">
        <w:rPr>
          <w:rFonts w:eastAsia="Times New Roman" w:cs="TrebuchetMS"/>
        </w:rPr>
        <w:t>wniosk</w:t>
      </w:r>
      <w:r>
        <w:rPr>
          <w:rFonts w:eastAsia="Times New Roman" w:cs="TrebuchetMS"/>
        </w:rPr>
        <w:t>ów</w:t>
      </w:r>
      <w:r w:rsidR="00E21CE3" w:rsidRPr="000F5BB9">
        <w:rPr>
          <w:rFonts w:eastAsia="Times New Roman" w:cs="TrebuchetMS"/>
        </w:rPr>
        <w:t>, w których druga strona sporu odmówiła wzięcia udziału w postępowaniu (wnioski składane zarówno przez konsumentów jak i przedsiębiorców)</w:t>
      </w:r>
      <w:r>
        <w:rPr>
          <w:rFonts w:eastAsia="Times New Roman" w:cs="TrebuchetMS"/>
        </w:rPr>
        <w:t>,</w:t>
      </w:r>
    </w:p>
    <w:p w14:paraId="65809701" w14:textId="77777777" w:rsidR="00E21CE3" w:rsidRPr="000F5BB9" w:rsidRDefault="000F5BB9" w:rsidP="000F5BB9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567" w:hanging="283"/>
        <w:rPr>
          <w:rFonts w:eastAsia="Times New Roman" w:cs="TrebuchetMS"/>
        </w:rPr>
      </w:pPr>
      <w:r>
        <w:rPr>
          <w:rFonts w:eastAsia="Times New Roman" w:cs="TrebuchetMS"/>
        </w:rPr>
        <w:t xml:space="preserve">93 </w:t>
      </w:r>
      <w:r w:rsidR="00E21CE3" w:rsidRPr="000F5BB9">
        <w:rPr>
          <w:rFonts w:eastAsia="Times New Roman" w:cs="TrebuchetMS"/>
        </w:rPr>
        <w:t>sprawy, gdy konsument nie zgodził się na propozycję przedsiębiorcy</w:t>
      </w:r>
      <w:r>
        <w:rPr>
          <w:rFonts w:eastAsia="Times New Roman" w:cs="TrebuchetMS"/>
        </w:rPr>
        <w:t>,</w:t>
      </w:r>
    </w:p>
    <w:p w14:paraId="112DEDF0" w14:textId="77777777" w:rsidR="00E21CE3" w:rsidRPr="000F5BB9" w:rsidRDefault="000F5BB9" w:rsidP="000F5BB9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567" w:hanging="283"/>
        <w:rPr>
          <w:rFonts w:eastAsia="Times New Roman" w:cs="TrebuchetMS"/>
        </w:rPr>
      </w:pPr>
      <w:r>
        <w:rPr>
          <w:rFonts w:eastAsia="Times New Roman" w:cs="TrebuchetMS"/>
        </w:rPr>
        <w:t xml:space="preserve">24 </w:t>
      </w:r>
      <w:r w:rsidR="00E21CE3" w:rsidRPr="000F5BB9">
        <w:rPr>
          <w:rFonts w:eastAsia="Times New Roman" w:cs="TrebuchetMS"/>
        </w:rPr>
        <w:t>sprawy przekazane innym organom, ze względu na brak właściwości rzeczowej</w:t>
      </w:r>
      <w:r>
        <w:rPr>
          <w:rFonts w:eastAsia="Times New Roman" w:cs="TrebuchetMS"/>
        </w:rPr>
        <w:t>.</w:t>
      </w:r>
    </w:p>
    <w:p w14:paraId="2A0DCB3C" w14:textId="77777777" w:rsidR="00E21CE3" w:rsidRPr="00014849" w:rsidRDefault="00E21CE3" w:rsidP="00014849">
      <w:pPr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jc w:val="left"/>
        <w:rPr>
          <w:rFonts w:eastAsia="Times New Roman" w:cs="TrebuchetMS"/>
          <w:b/>
        </w:rPr>
      </w:pPr>
      <w:r w:rsidRPr="00014849">
        <w:rPr>
          <w:rFonts w:eastAsia="Times New Roman" w:cs="TrebuchetMS"/>
          <w:b/>
        </w:rPr>
        <w:lastRenderedPageBreak/>
        <w:t>Informacje w przedmiocie średniego czasu trwania postępowania</w:t>
      </w:r>
    </w:p>
    <w:p w14:paraId="6E3A755E" w14:textId="77777777" w:rsidR="00E21CE3" w:rsidRPr="00014849" w:rsidRDefault="00E21CE3" w:rsidP="00014849">
      <w:pPr>
        <w:autoSpaceDE w:val="0"/>
        <w:autoSpaceDN w:val="0"/>
        <w:adjustRightInd w:val="0"/>
        <w:spacing w:after="120" w:line="276" w:lineRule="auto"/>
        <w:ind w:left="284"/>
        <w:rPr>
          <w:rFonts w:eastAsia="Times New Roman" w:cs="TrebuchetMS"/>
        </w:rPr>
      </w:pPr>
      <w:r w:rsidRPr="00014849">
        <w:rPr>
          <w:rFonts w:eastAsia="Times New Roman" w:cs="TrebuchetMS"/>
        </w:rPr>
        <w:t xml:space="preserve">Średni czas postępowania w sprawie polubownego rozpatrywania sporów konsumenckich wynosił </w:t>
      </w:r>
      <w:r w:rsidR="00813C74" w:rsidRPr="00014849">
        <w:rPr>
          <w:rFonts w:eastAsia="Times New Roman" w:cs="TrebuchetMS"/>
          <w:b/>
        </w:rPr>
        <w:t>33,4</w:t>
      </w:r>
      <w:r w:rsidRPr="00014849">
        <w:rPr>
          <w:rFonts w:eastAsia="Times New Roman" w:cs="TrebuchetMS"/>
        </w:rPr>
        <w:t xml:space="preserve"> dnia. </w:t>
      </w:r>
    </w:p>
    <w:p w14:paraId="53B5764E" w14:textId="77777777" w:rsidR="00E21CE3" w:rsidRPr="00014849" w:rsidRDefault="00E21CE3" w:rsidP="00014849">
      <w:pPr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rPr>
          <w:rFonts w:eastAsia="Times New Roman" w:cs="TrebuchetMS"/>
          <w:b/>
        </w:rPr>
      </w:pPr>
      <w:r w:rsidRPr="00014849">
        <w:rPr>
          <w:rFonts w:eastAsia="Times New Roman" w:cs="TrebuchetMS"/>
          <w:b/>
        </w:rPr>
        <w:t>Informacja o współpracy podmiotów w ramach sieci podmiotów prowadzących postępowania pozasądowego rozwiązywania sporów konsumenckich, ułatwiających rozwiązywanie sporów transgranicznych, jeżeli podmiot uprawniony należy do takiej sieci</w:t>
      </w:r>
    </w:p>
    <w:p w14:paraId="4DAE6A5C" w14:textId="7F6A0FA2" w:rsidR="0073554D" w:rsidRDefault="00E21CE3" w:rsidP="00BC43F5">
      <w:pPr>
        <w:autoSpaceDE w:val="0"/>
        <w:autoSpaceDN w:val="0"/>
        <w:adjustRightInd w:val="0"/>
        <w:spacing w:after="120" w:line="276" w:lineRule="auto"/>
        <w:ind w:left="284" w:hanging="142"/>
      </w:pPr>
      <w:r w:rsidRPr="00014849">
        <w:rPr>
          <w:rFonts w:eastAsia="Times New Roman" w:cs="TrebuchetMS"/>
        </w:rPr>
        <w:t>Europejski</w:t>
      </w:r>
      <w:r w:rsidR="00813C74" w:rsidRPr="00014849">
        <w:rPr>
          <w:rFonts w:eastAsia="Times New Roman" w:cs="TrebuchetMS"/>
        </w:rPr>
        <w:t>e</w:t>
      </w:r>
      <w:r w:rsidRPr="00014849">
        <w:rPr>
          <w:rFonts w:eastAsia="Times New Roman" w:cs="TrebuchetMS"/>
        </w:rPr>
        <w:t xml:space="preserve"> Centrum Konsumencki</w:t>
      </w:r>
      <w:r w:rsidR="00813C74" w:rsidRPr="00014849">
        <w:rPr>
          <w:rFonts w:eastAsia="Times New Roman" w:cs="TrebuchetMS"/>
        </w:rPr>
        <w:t>e</w:t>
      </w:r>
      <w:r w:rsidRPr="00014849">
        <w:rPr>
          <w:rFonts w:eastAsia="Times New Roman" w:cs="TrebuchetMS"/>
        </w:rPr>
        <w:t xml:space="preserve"> </w:t>
      </w:r>
      <w:r w:rsidR="00813C74" w:rsidRPr="00014849">
        <w:rPr>
          <w:rFonts w:eastAsia="Times New Roman" w:cs="TrebuchetMS"/>
        </w:rPr>
        <w:t xml:space="preserve">przekazało do Inspekcji Handlowej </w:t>
      </w:r>
      <w:r w:rsidR="00813C74" w:rsidRPr="00014849">
        <w:rPr>
          <w:rFonts w:eastAsia="Times New Roman" w:cs="TrebuchetMS"/>
          <w:b/>
        </w:rPr>
        <w:t>58</w:t>
      </w:r>
      <w:r w:rsidRPr="00014849">
        <w:rPr>
          <w:rFonts w:eastAsia="Times New Roman" w:cs="TrebuchetMS"/>
        </w:rPr>
        <w:t xml:space="preserve"> wniosków.</w:t>
      </w:r>
      <w:bookmarkEnd w:id="0"/>
    </w:p>
    <w:sectPr w:rsidR="0073554D" w:rsidSect="00014849">
      <w:footerReference w:type="default" r:id="rId8"/>
      <w:head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3292FF" w14:textId="77777777" w:rsidR="00773680" w:rsidRDefault="00773680" w:rsidP="00E21CE3">
      <w:pPr>
        <w:spacing w:line="240" w:lineRule="auto"/>
      </w:pPr>
      <w:r>
        <w:separator/>
      </w:r>
    </w:p>
  </w:endnote>
  <w:endnote w:type="continuationSeparator" w:id="0">
    <w:p w14:paraId="3CCFB466" w14:textId="77777777" w:rsidR="00773680" w:rsidRDefault="00773680" w:rsidP="00E21C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MS">
    <w:altName w:val="Arial"/>
    <w:charset w:val="EE"/>
    <w:family w:val="auto"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5810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1363377" w14:textId="77777777" w:rsidR="00014849" w:rsidRPr="00014849" w:rsidRDefault="00014849">
        <w:pPr>
          <w:pStyle w:val="Stopka"/>
          <w:jc w:val="center"/>
          <w:rPr>
            <w:sz w:val="18"/>
            <w:szCs w:val="18"/>
          </w:rPr>
        </w:pPr>
        <w:r w:rsidRPr="00014849">
          <w:rPr>
            <w:sz w:val="18"/>
            <w:szCs w:val="18"/>
          </w:rPr>
          <w:fldChar w:fldCharType="begin"/>
        </w:r>
        <w:r w:rsidRPr="00014849">
          <w:rPr>
            <w:sz w:val="18"/>
            <w:szCs w:val="18"/>
          </w:rPr>
          <w:instrText>PAGE   \* MERGEFORMAT</w:instrText>
        </w:r>
        <w:r w:rsidRPr="00014849">
          <w:rPr>
            <w:sz w:val="18"/>
            <w:szCs w:val="18"/>
          </w:rPr>
          <w:fldChar w:fldCharType="separate"/>
        </w:r>
        <w:r w:rsidR="008D1AC9">
          <w:rPr>
            <w:noProof/>
            <w:sz w:val="18"/>
            <w:szCs w:val="18"/>
          </w:rPr>
          <w:t>3</w:t>
        </w:r>
        <w:r w:rsidRPr="00014849">
          <w:rPr>
            <w:sz w:val="18"/>
            <w:szCs w:val="18"/>
          </w:rPr>
          <w:fldChar w:fldCharType="end"/>
        </w:r>
      </w:p>
    </w:sdtContent>
  </w:sdt>
  <w:p w14:paraId="576134F2" w14:textId="77777777" w:rsidR="00014849" w:rsidRDefault="000148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47E594" w14:textId="77777777" w:rsidR="00773680" w:rsidRDefault="00773680" w:rsidP="00E21CE3">
      <w:pPr>
        <w:spacing w:line="240" w:lineRule="auto"/>
      </w:pPr>
      <w:r>
        <w:separator/>
      </w:r>
    </w:p>
  </w:footnote>
  <w:footnote w:type="continuationSeparator" w:id="0">
    <w:p w14:paraId="703B3437" w14:textId="77777777" w:rsidR="00773680" w:rsidRDefault="00773680" w:rsidP="00E21C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4"/>
      <w:gridCol w:w="1849"/>
      <w:gridCol w:w="2827"/>
    </w:tblGrid>
    <w:tr w:rsidR="00014849" w14:paraId="3A512FF2" w14:textId="77777777" w:rsidTr="009518FB">
      <w:trPr>
        <w:trHeight w:val="1412"/>
      </w:trPr>
      <w:tc>
        <w:tcPr>
          <w:tcW w:w="4395" w:type="dxa"/>
          <w:vAlign w:val="center"/>
        </w:tcPr>
        <w:p w14:paraId="716116A5" w14:textId="77777777" w:rsidR="00014849" w:rsidRDefault="00014849" w:rsidP="00014849">
          <w:pPr>
            <w:pStyle w:val="Nagwek"/>
            <w:jc w:val="left"/>
          </w:pPr>
          <w:r>
            <w:rPr>
              <w:rFonts w:eastAsia="Times New Roman" w:cs="TrebuchetMS"/>
              <w:noProof/>
              <w:lang w:eastAsia="pl-PL"/>
            </w:rPr>
            <w:drawing>
              <wp:inline distT="0" distB="0" distL="0" distR="0" wp14:anchorId="217BB33E" wp14:editId="21981749">
                <wp:extent cx="2444750" cy="691515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4750" cy="69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0" w:type="dxa"/>
          <w:vAlign w:val="center"/>
        </w:tcPr>
        <w:p w14:paraId="34AEA6E9" w14:textId="77777777" w:rsidR="00014849" w:rsidRDefault="00014849" w:rsidP="00014849">
          <w:pPr>
            <w:pStyle w:val="Nagwek"/>
          </w:pPr>
        </w:p>
      </w:tc>
      <w:tc>
        <w:tcPr>
          <w:tcW w:w="2827" w:type="dxa"/>
          <w:vAlign w:val="center"/>
        </w:tcPr>
        <w:p w14:paraId="2B4612EF" w14:textId="77777777" w:rsidR="00014849" w:rsidRDefault="00014849" w:rsidP="00014849">
          <w:pPr>
            <w:pStyle w:val="Nagwek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62C2031D" wp14:editId="47FE6732">
                <wp:extent cx="1371600" cy="685800"/>
                <wp:effectExtent l="0" t="0" r="0" b="0"/>
                <wp:docPr id="5" name="Obraz 5" descr="C:\Users\J.Jankowska\Desktop\STRONA INTERNETOWA\LOGO, OBRAZKI\logo_ih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C:\Users\J.Jankowska\Desktop\STRONA INTERNETOWA\LOGO, OBRAZKI\logo_ih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7A91793" w14:textId="77777777" w:rsidR="00014849" w:rsidRPr="00014849" w:rsidRDefault="00014849" w:rsidP="0001484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5631A"/>
    <w:multiLevelType w:val="hybridMultilevel"/>
    <w:tmpl w:val="ACD88778"/>
    <w:lvl w:ilvl="0" w:tplc="A544C80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F4780"/>
    <w:multiLevelType w:val="hybridMultilevel"/>
    <w:tmpl w:val="5E6EFEC2"/>
    <w:lvl w:ilvl="0" w:tplc="29A6091E">
      <w:start w:val="1"/>
      <w:numFmt w:val="bullet"/>
      <w:lvlText w:val="—"/>
      <w:lvlJc w:val="left"/>
      <w:pPr>
        <w:ind w:left="2421" w:hanging="360"/>
      </w:pPr>
      <w:rPr>
        <w:rFonts w:ascii="Trebuchet MS" w:hAnsi="Trebuchet MS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65D1601F"/>
    <w:multiLevelType w:val="hybridMultilevel"/>
    <w:tmpl w:val="7B527312"/>
    <w:lvl w:ilvl="0" w:tplc="29A6091E">
      <w:start w:val="1"/>
      <w:numFmt w:val="bullet"/>
      <w:lvlText w:val="—"/>
      <w:lvlJc w:val="left"/>
      <w:pPr>
        <w:ind w:left="1287" w:hanging="360"/>
      </w:pPr>
      <w:rPr>
        <w:rFonts w:ascii="Trebuchet MS" w:hAnsi="Trebuchet MS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CE3"/>
    <w:rsid w:val="000020C9"/>
    <w:rsid w:val="00005632"/>
    <w:rsid w:val="00014849"/>
    <w:rsid w:val="00095071"/>
    <w:rsid w:val="00095785"/>
    <w:rsid w:val="000A67C8"/>
    <w:rsid w:val="000F5BB9"/>
    <w:rsid w:val="0014201C"/>
    <w:rsid w:val="00164268"/>
    <w:rsid w:val="0017233D"/>
    <w:rsid w:val="00177A0C"/>
    <w:rsid w:val="001926BB"/>
    <w:rsid w:val="001D28CA"/>
    <w:rsid w:val="00201709"/>
    <w:rsid w:val="002E25F1"/>
    <w:rsid w:val="003A2E09"/>
    <w:rsid w:val="00463668"/>
    <w:rsid w:val="0048385C"/>
    <w:rsid w:val="004978F6"/>
    <w:rsid w:val="0050766F"/>
    <w:rsid w:val="005D23DA"/>
    <w:rsid w:val="00674873"/>
    <w:rsid w:val="006E37AE"/>
    <w:rsid w:val="006E574E"/>
    <w:rsid w:val="00756978"/>
    <w:rsid w:val="00773680"/>
    <w:rsid w:val="00813C74"/>
    <w:rsid w:val="008503EF"/>
    <w:rsid w:val="0086623A"/>
    <w:rsid w:val="00872E0F"/>
    <w:rsid w:val="008D1AC9"/>
    <w:rsid w:val="008D29B5"/>
    <w:rsid w:val="008E13F9"/>
    <w:rsid w:val="00912C8A"/>
    <w:rsid w:val="00931FF8"/>
    <w:rsid w:val="00935B15"/>
    <w:rsid w:val="0098459E"/>
    <w:rsid w:val="009D1184"/>
    <w:rsid w:val="009D5A00"/>
    <w:rsid w:val="009D7D26"/>
    <w:rsid w:val="00A00575"/>
    <w:rsid w:val="00A23BE6"/>
    <w:rsid w:val="00A24D4D"/>
    <w:rsid w:val="00A85C6B"/>
    <w:rsid w:val="00AA1572"/>
    <w:rsid w:val="00AB3207"/>
    <w:rsid w:val="00AD2026"/>
    <w:rsid w:val="00AF13F8"/>
    <w:rsid w:val="00AF3F91"/>
    <w:rsid w:val="00B61F69"/>
    <w:rsid w:val="00BB5A6E"/>
    <w:rsid w:val="00BC43F5"/>
    <w:rsid w:val="00BF58B7"/>
    <w:rsid w:val="00C04C97"/>
    <w:rsid w:val="00C21853"/>
    <w:rsid w:val="00C622A2"/>
    <w:rsid w:val="00D179D2"/>
    <w:rsid w:val="00D53AE1"/>
    <w:rsid w:val="00DA44BD"/>
    <w:rsid w:val="00DC24F6"/>
    <w:rsid w:val="00E04C7D"/>
    <w:rsid w:val="00E07327"/>
    <w:rsid w:val="00E1688B"/>
    <w:rsid w:val="00E21CE3"/>
    <w:rsid w:val="00F36954"/>
    <w:rsid w:val="00F949A7"/>
    <w:rsid w:val="00FB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04D25F"/>
  <w15:chartTrackingRefBased/>
  <w15:docId w15:val="{051A5C60-0B7F-43F8-8C85-82793E38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CE3"/>
    <w:pPr>
      <w:spacing w:after="0" w:line="360" w:lineRule="auto"/>
      <w:jc w:val="both"/>
    </w:pPr>
    <w:rPr>
      <w:rFonts w:ascii="Trebuchet MS" w:eastAsia="Calibri" w:hAnsi="Trebuchet MS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1CE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1CE3"/>
  </w:style>
  <w:style w:type="paragraph" w:styleId="Stopka">
    <w:name w:val="footer"/>
    <w:basedOn w:val="Normalny"/>
    <w:link w:val="StopkaZnak"/>
    <w:uiPriority w:val="99"/>
    <w:unhideWhenUsed/>
    <w:rsid w:val="00E21CE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1CE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1CE3"/>
    <w:pPr>
      <w:spacing w:line="240" w:lineRule="auto"/>
      <w:jc w:val="left"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1CE3"/>
    <w:rPr>
      <w:rFonts w:ascii="Trebuchet MS" w:eastAsia="Times New Roman" w:hAnsi="Trebuchet MS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21CE3"/>
    <w:rPr>
      <w:vertAlign w:val="superscript"/>
    </w:rPr>
  </w:style>
  <w:style w:type="paragraph" w:styleId="Akapitzlist">
    <w:name w:val="List Paragraph"/>
    <w:basedOn w:val="Normalny"/>
    <w:uiPriority w:val="34"/>
    <w:qFormat/>
    <w:rsid w:val="0009507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148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8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849"/>
    <w:rPr>
      <w:rFonts w:ascii="Trebuchet MS" w:eastAsia="Calibri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8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849"/>
    <w:rPr>
      <w:rFonts w:ascii="Trebuchet MS" w:eastAsia="Calibri" w:hAnsi="Trebuchet MS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8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849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148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4611BBB1-7035-4375-8326-D10A9AF815E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839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Jaworska-Dziełak</dc:creator>
  <cp:keywords/>
  <dc:description/>
  <cp:lastModifiedBy>Katarzyna Pruc</cp:lastModifiedBy>
  <cp:revision>2</cp:revision>
  <cp:lastPrinted>2023-04-25T10:22:00Z</cp:lastPrinted>
  <dcterms:created xsi:type="dcterms:W3CDTF">2024-01-19T12:22:00Z</dcterms:created>
  <dcterms:modified xsi:type="dcterms:W3CDTF">2024-01-19T12:22:00Z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251b870d-b15b-42ac-be21-fc7687671e3b</vt:lpwstr>
  </property>
  <property fmtid="{D5CDD505-2E9C-101B-9397-08002B2CF9AE}" pid="3" name="bjClsUserRVM">
    <vt:lpwstr>[]</vt:lpwstr>
  </property>
  <property fmtid="{D5CDD505-2E9C-101B-9397-08002B2CF9AE}" pid="4" name="bjSaver">
    <vt:lpwstr>WPA4k/huRn75DFo9mYC3FEf1aTil13pc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6" name="bjDocumentLabelXML-0">
    <vt:lpwstr>ames.com/2008/01/sie/internal/label"&gt;&lt;element uid="89790441-96e2-477c-afd4-1e96c2fd8935" value="" /&gt;&lt;/sisl&gt;</vt:lpwstr>
  </property>
  <property fmtid="{D5CDD505-2E9C-101B-9397-08002B2CF9AE}" pid="7" name="bjDocumentSecurityLabel">
    <vt:lpwstr>JAWNE</vt:lpwstr>
  </property>
</Properties>
</file>